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13DC4" w14:textId="77777777" w:rsidR="00DC44FD" w:rsidRPr="00031DF5" w:rsidRDefault="00DC44FD" w:rsidP="00DC44FD">
      <w:pPr>
        <w:spacing w:line="240" w:lineRule="auto"/>
        <w:jc w:val="center"/>
        <w:rPr>
          <w:rFonts w:ascii="Palatino Linotype" w:eastAsia="Palatino Linotype" w:hAnsi="Palatino Linotype" w:cs="Palatino Linotype"/>
          <w:b/>
          <w:sz w:val="24"/>
          <w:u w:val="single"/>
        </w:rPr>
      </w:pPr>
      <w:r w:rsidRPr="00031DF5">
        <w:rPr>
          <w:rFonts w:ascii="Palatino Linotype" w:eastAsia="Palatino Linotype" w:hAnsi="Palatino Linotype" w:cs="Palatino Linotype"/>
          <w:b/>
          <w:sz w:val="24"/>
          <w:u w:val="single"/>
        </w:rPr>
        <w:t>Transcript Review Worksheet</w:t>
      </w:r>
    </w:p>
    <w:p w14:paraId="426B5D66" w14:textId="77777777" w:rsidR="00DC44FD" w:rsidRPr="00031DF5" w:rsidRDefault="00DC44FD" w:rsidP="00DC44FD">
      <w:pPr>
        <w:spacing w:line="240" w:lineRule="auto"/>
        <w:jc w:val="center"/>
        <w:rPr>
          <w:rFonts w:ascii="Palatino Linotype" w:eastAsia="Palatino Linotype" w:hAnsi="Palatino Linotype" w:cs="Palatino Linotype"/>
          <w:b/>
          <w:sz w:val="24"/>
          <w:u w:val="single"/>
        </w:rPr>
      </w:pPr>
    </w:p>
    <w:p w14:paraId="2BEAD9B0" w14:textId="2AE3F08B" w:rsidR="00DC44FD" w:rsidRPr="00031DF5" w:rsidRDefault="00DC44FD" w:rsidP="00DC44FD">
      <w:pPr>
        <w:spacing w:after="120" w:line="240" w:lineRule="auto"/>
        <w:jc w:val="center"/>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5440-79 Specialized Literary Professional </w:t>
      </w:r>
    </w:p>
    <w:p w14:paraId="3E130F9A" w14:textId="77777777" w:rsidR="00DC44FD" w:rsidRDefault="00DC44FD" w:rsidP="00DC44FD">
      <w:pPr>
        <w:pStyle w:val="CM329"/>
        <w:spacing w:after="305" w:line="298" w:lineRule="atLeast"/>
        <w:rPr>
          <w:rFonts w:cs="Palatino Linotype"/>
          <w:color w:val="000000"/>
          <w:sz w:val="22"/>
          <w:szCs w:val="22"/>
        </w:rPr>
      </w:pPr>
      <w:r>
        <w:rPr>
          <w:rFonts w:cs="Palatino Linotype"/>
          <w:i/>
          <w:iCs/>
          <w:color w:val="000000"/>
          <w:sz w:val="22"/>
          <w:szCs w:val="22"/>
          <w:u w:val="single"/>
        </w:rPr>
        <w:t xml:space="preserve">The holder is authorized to function as a school-wide resource to support teachers and schools in implementing literacy instruction and assessment practices that are informed by research, and to provide instruction in literacy to students in grades PK-12. This endorsement is limited to those who hold or who are eligible to hold endorsements in early childhood, elementary education, middle grades, the secondary content areas, special education, or English as a Second Language. </w:t>
      </w:r>
    </w:p>
    <w:p w14:paraId="0D74513F" w14:textId="77777777" w:rsidR="00DC44FD" w:rsidRDefault="00DC44FD" w:rsidP="00DC44FD">
      <w:pPr>
        <w:spacing w:line="240" w:lineRule="auto"/>
        <w:jc w:val="center"/>
        <w:rPr>
          <w:rFonts w:ascii="Palatino Linotype" w:hAnsi="Palatino Linotype"/>
          <w:iCs/>
        </w:rPr>
      </w:pPr>
    </w:p>
    <w:p w14:paraId="425D9DF3" w14:textId="77777777" w:rsidR="00DC44FD" w:rsidRPr="00226D95" w:rsidRDefault="00DC44FD" w:rsidP="00DC44FD">
      <w:pPr>
        <w:spacing w:line="240" w:lineRule="auto"/>
        <w:jc w:val="center"/>
        <w:rPr>
          <w:rFonts w:ascii="Palatino Linotype" w:eastAsia="Palatino Linotype" w:hAnsi="Palatino Linotype" w:cs="Palatino Linotype"/>
          <w:b/>
        </w:rPr>
      </w:pPr>
      <w:r w:rsidRPr="00226D95">
        <w:rPr>
          <w:rFonts w:ascii="Palatino Linotype" w:eastAsia="Palatino Linotype" w:hAnsi="Palatino Linotype" w:cs="Palatino Linotype"/>
          <w:b/>
        </w:rPr>
        <w:t>Name:  __________________________________Educator ID#______________________</w:t>
      </w:r>
    </w:p>
    <w:p w14:paraId="1C8158BC" w14:textId="77777777" w:rsidR="00DC44FD" w:rsidRPr="00226D95" w:rsidRDefault="00DC44FD" w:rsidP="00DC44FD">
      <w:pPr>
        <w:spacing w:line="240" w:lineRule="auto"/>
        <w:jc w:val="center"/>
        <w:rPr>
          <w:rFonts w:ascii="Palatino Linotype" w:eastAsia="Palatino Linotype" w:hAnsi="Palatino Linotype" w:cs="Palatino Linotype"/>
        </w:rPr>
      </w:pPr>
    </w:p>
    <w:p w14:paraId="2935D587" w14:textId="77777777" w:rsidR="00DC44FD" w:rsidRDefault="00017822" w:rsidP="00DC44FD">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DC44FD" w:rsidRPr="0058200E">
            <w:rPr>
              <w:rFonts w:ascii="Segoe UI Symbol" w:eastAsia="MS Gothic" w:hAnsi="Segoe UI Symbol" w:cs="Segoe UI Symbol"/>
              <w:b/>
            </w:rPr>
            <w:t>☐</w:t>
          </w:r>
        </w:sdtContent>
      </w:sdt>
      <w:r w:rsidR="00DC44FD" w:rsidRPr="00226D95">
        <w:rPr>
          <w:rFonts w:ascii="Palatino Linotype" w:eastAsia="Times New Roman" w:hAnsi="Palatino Linotype" w:cs="Times New Roman"/>
          <w:b/>
        </w:rPr>
        <w:t xml:space="preserve"> Add Endorsement</w:t>
      </w:r>
      <w:r w:rsidR="00DC44FD" w:rsidRPr="00226D95">
        <w:rPr>
          <w:rFonts w:ascii="Palatino Linotype" w:eastAsia="Times New Roman" w:hAnsi="Palatino Linotype" w:cs="Times New Roman"/>
          <w:b/>
        </w:rPr>
        <w:tab/>
      </w:r>
      <w:r w:rsidR="00DC44FD" w:rsidRPr="00226D95">
        <w:rPr>
          <w:rFonts w:ascii="Palatino Linotype" w:eastAsia="Times New Roman" w:hAnsi="Palatino Linotype" w:cs="Times New Roman"/>
          <w:b/>
        </w:rPr>
        <w:tab/>
      </w:r>
      <w:r w:rsidR="00DC44FD" w:rsidRPr="00226D95">
        <w:rPr>
          <w:rFonts w:ascii="Palatino Linotype" w:eastAsia="Times New Roman" w:hAnsi="Palatino Linotype" w:cs="Times New Roman"/>
          <w:b/>
        </w:rPr>
        <w:tab/>
      </w:r>
      <w:sdt>
        <w:sdtPr>
          <w:rPr>
            <w:rFonts w:ascii="Palatino Linotype" w:eastAsia="Times New Roman" w:hAnsi="Palatino Linotype" w:cs="Segoe UI Symbol"/>
            <w:b/>
          </w:rPr>
          <w:id w:val="1554347944"/>
          <w14:checkbox>
            <w14:checked w14:val="0"/>
            <w14:checkedState w14:val="2612" w14:font="MS Gothic"/>
            <w14:uncheckedState w14:val="2610" w14:font="MS Gothic"/>
          </w14:checkbox>
        </w:sdtPr>
        <w:sdtEndPr/>
        <w:sdtContent>
          <w:r w:rsidR="00DC44FD" w:rsidRPr="0058200E">
            <w:rPr>
              <w:rFonts w:ascii="Segoe UI Symbol" w:eastAsia="MS Gothic" w:hAnsi="Segoe UI Symbol" w:cs="Segoe UI Symbol"/>
              <w:b/>
            </w:rPr>
            <w:t>☐</w:t>
          </w:r>
        </w:sdtContent>
      </w:sdt>
      <w:r w:rsidR="00DC44FD" w:rsidRPr="00226D95">
        <w:rPr>
          <w:rFonts w:ascii="Palatino Linotype" w:eastAsia="Times New Roman" w:hAnsi="Palatino Linotype" w:cs="Times New Roman"/>
          <w:b/>
        </w:rPr>
        <w:t xml:space="preserve"> Course Audit</w:t>
      </w:r>
    </w:p>
    <w:p w14:paraId="114D5C7C" w14:textId="77777777" w:rsidR="00DC44FD" w:rsidRPr="00226D95" w:rsidRDefault="00DC44FD" w:rsidP="00DC44FD">
      <w:pPr>
        <w:spacing w:line="240" w:lineRule="auto"/>
        <w:jc w:val="center"/>
        <w:rPr>
          <w:rFonts w:ascii="Palatino Linotype" w:eastAsia="Times New Roman" w:hAnsi="Palatino Linotype" w:cs="Times New Roman"/>
          <w:b/>
        </w:rPr>
      </w:pPr>
    </w:p>
    <w:p w14:paraId="5FE1BC9D" w14:textId="77777777" w:rsidR="00DC44FD" w:rsidRPr="0058200E" w:rsidRDefault="00DC44FD" w:rsidP="00DC44FD">
      <w:pPr>
        <w:spacing w:line="240" w:lineRule="auto"/>
        <w:jc w:val="center"/>
        <w:rPr>
          <w:rFonts w:ascii="Palatino Linotype" w:eastAsia="Palatino Linotype" w:hAnsi="Palatino Linotype" w:cs="Palatino Linotype"/>
        </w:rPr>
      </w:pPr>
      <w:r w:rsidRPr="0058200E">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720DBC62" w14:textId="77777777" w:rsidR="00DC44FD" w:rsidRPr="0058200E" w:rsidRDefault="00DC44FD" w:rsidP="00DC44FD">
      <w:pPr>
        <w:spacing w:line="240" w:lineRule="auto"/>
        <w:jc w:val="center"/>
        <w:rPr>
          <w:rFonts w:ascii="Palatino Linotype" w:eastAsia="Palatino Linotype" w:hAnsi="Palatino Linotype" w:cs="Palatino Linotype"/>
        </w:rPr>
      </w:pPr>
      <w:r w:rsidRPr="0058200E">
        <w:rPr>
          <w:rFonts w:ascii="Palatino Linotype" w:eastAsia="Palatino Linotype" w:hAnsi="Palatino Linotype" w:cs="Palatino Linotype"/>
        </w:rPr>
        <w:t xml:space="preserve">For a full list of requirements, please consult the </w:t>
      </w:r>
      <w:hyperlink r:id="rId10" w:history="1">
        <w:r w:rsidRPr="0058200E">
          <w:rPr>
            <w:rStyle w:val="Hyperlink"/>
            <w:rFonts w:ascii="Palatino Linotype" w:eastAsia="Palatino Linotype" w:hAnsi="Palatino Linotype" w:cs="Palatino Linotype"/>
          </w:rPr>
          <w:t>Rules Governing the Licensing of Educators</w:t>
        </w:r>
      </w:hyperlink>
    </w:p>
    <w:p w14:paraId="1400E448" w14:textId="77777777" w:rsidR="00DC44FD" w:rsidRPr="00226D95" w:rsidRDefault="00DC44FD" w:rsidP="00DC44FD">
      <w:pPr>
        <w:spacing w:line="240" w:lineRule="auto"/>
        <w:rPr>
          <w:rFonts w:ascii="Palatino Linotype" w:eastAsia="Palatino Linotype" w:hAnsi="Palatino Linotype" w:cs="Palatino Linotype"/>
          <w:b/>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260"/>
        <w:gridCol w:w="3865"/>
      </w:tblGrid>
      <w:tr w:rsidR="004A054A" w:rsidRPr="00226D95" w14:paraId="6FE8433E" w14:textId="77777777" w:rsidTr="004A054A">
        <w:trPr>
          <w:tblHeader/>
          <w:jc w:val="center"/>
        </w:trPr>
        <w:tc>
          <w:tcPr>
            <w:tcW w:w="5490" w:type="dxa"/>
            <w:shd w:val="clear" w:color="auto" w:fill="CCCCCC"/>
          </w:tcPr>
          <w:p w14:paraId="01424832" w14:textId="77777777" w:rsidR="004A054A" w:rsidRPr="00226D95" w:rsidRDefault="004A054A" w:rsidP="00872718">
            <w:pPr>
              <w:keepNext/>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Content</w:t>
            </w:r>
          </w:p>
          <w:p w14:paraId="66D855D1" w14:textId="77777777" w:rsidR="004A054A" w:rsidRPr="00226D95" w:rsidRDefault="004A054A" w:rsidP="00872718">
            <w:pPr>
              <w:keepNext/>
              <w:spacing w:line="240" w:lineRule="auto"/>
              <w:jc w:val="center"/>
              <w:rPr>
                <w:rFonts w:ascii="Palatino Linotype" w:eastAsia="Palatino Linotype" w:hAnsi="Palatino Linotype" w:cs="Palatino Linotype"/>
                <w:b/>
              </w:rPr>
            </w:pPr>
            <w:r w:rsidRPr="00226D95">
              <w:rPr>
                <w:rFonts w:ascii="Palatino Linotype" w:eastAsia="Palatino Linotype" w:hAnsi="Palatino Linotype" w:cs="Palatino Linotype"/>
                <w:b/>
                <w:sz w:val="20"/>
                <w:szCs w:val="20"/>
              </w:rPr>
              <w:t xml:space="preserve"> Topic</w:t>
            </w:r>
          </w:p>
        </w:tc>
        <w:tc>
          <w:tcPr>
            <w:tcW w:w="1260" w:type="dxa"/>
            <w:shd w:val="clear" w:color="auto" w:fill="CCCCCC"/>
          </w:tcPr>
          <w:p w14:paraId="146120DA" w14:textId="77777777" w:rsidR="004A054A" w:rsidRPr="00226D95" w:rsidRDefault="004A054A" w:rsidP="00872718">
            <w:pPr>
              <w:keepNext/>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College/</w:t>
            </w:r>
          </w:p>
          <w:p w14:paraId="6D35F5AD" w14:textId="77777777" w:rsidR="004A054A" w:rsidRPr="00226D95" w:rsidRDefault="004A054A" w:rsidP="00872718">
            <w:pPr>
              <w:keepNext/>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University</w:t>
            </w:r>
          </w:p>
        </w:tc>
        <w:tc>
          <w:tcPr>
            <w:tcW w:w="3865" w:type="dxa"/>
            <w:shd w:val="clear" w:color="auto" w:fill="CCCCCC"/>
          </w:tcPr>
          <w:p w14:paraId="4A1EEDAD" w14:textId="513F7C21" w:rsidR="004A054A" w:rsidRPr="00226D95" w:rsidRDefault="004A054A" w:rsidP="00872718">
            <w:pPr>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Course</w:t>
            </w:r>
            <w:r>
              <w:rPr>
                <w:rFonts w:ascii="Palatino Linotype" w:eastAsia="Palatino Linotype" w:hAnsi="Palatino Linotype" w:cs="Palatino Linotype"/>
                <w:b/>
                <w:sz w:val="20"/>
                <w:szCs w:val="20"/>
              </w:rPr>
              <w:t xml:space="preserve"> Name/</w:t>
            </w:r>
          </w:p>
          <w:p w14:paraId="1F90DB31" w14:textId="77777777" w:rsidR="004A054A" w:rsidRPr="00226D95" w:rsidRDefault="004A054A" w:rsidP="00872718">
            <w:pPr>
              <w:spacing w:line="240" w:lineRule="auto"/>
              <w:jc w:val="center"/>
              <w:rPr>
                <w:rFonts w:ascii="Palatino Linotype" w:eastAsia="Palatino Linotype" w:hAnsi="Palatino Linotype" w:cs="Palatino Linotype"/>
                <w:b/>
                <w:sz w:val="20"/>
                <w:szCs w:val="20"/>
              </w:rPr>
            </w:pPr>
            <w:r w:rsidRPr="00226D95">
              <w:rPr>
                <w:rFonts w:ascii="Palatino Linotype" w:eastAsia="Palatino Linotype" w:hAnsi="Palatino Linotype" w:cs="Palatino Linotype"/>
                <w:b/>
                <w:sz w:val="20"/>
                <w:szCs w:val="20"/>
              </w:rPr>
              <w:t>Number</w:t>
            </w:r>
          </w:p>
        </w:tc>
      </w:tr>
      <w:tr w:rsidR="004A054A" w:rsidRPr="00226D95" w14:paraId="1BD2D053" w14:textId="77777777" w:rsidTr="004A054A">
        <w:trPr>
          <w:trHeight w:val="755"/>
          <w:jc w:val="center"/>
        </w:trPr>
        <w:tc>
          <w:tcPr>
            <w:tcW w:w="10615" w:type="dxa"/>
            <w:gridSpan w:val="3"/>
            <w:shd w:val="clear" w:color="auto" w:fill="D0CECE" w:themeFill="background2" w:themeFillShade="E6"/>
          </w:tcPr>
          <w:p w14:paraId="20774D07" w14:textId="66F982A1" w:rsidR="004A054A" w:rsidRPr="00CB6B51" w:rsidRDefault="004A054A" w:rsidP="00F570AE">
            <w:pPr>
              <w:pStyle w:val="CM329"/>
              <w:spacing w:after="305" w:line="298" w:lineRule="atLeast"/>
              <w:rPr>
                <w:rFonts w:cs="Palatino Linotype"/>
                <w:color w:val="000000"/>
                <w:sz w:val="22"/>
                <w:szCs w:val="22"/>
              </w:rPr>
            </w:pPr>
            <w:r w:rsidRPr="00CB6B51">
              <w:rPr>
                <w:rFonts w:cs="Palatino Linotype"/>
                <w:color w:val="000000"/>
                <w:sz w:val="22"/>
                <w:szCs w:val="22"/>
              </w:rPr>
              <w:t xml:space="preserve">1. </w:t>
            </w:r>
            <w:r w:rsidRPr="00CB6B51">
              <w:rPr>
                <w:rFonts w:cs="Palatino Linotype"/>
                <w:b/>
                <w:bCs/>
                <w:color w:val="000000"/>
                <w:sz w:val="22"/>
                <w:szCs w:val="22"/>
              </w:rPr>
              <w:t xml:space="preserve">Foundational Knowledge </w:t>
            </w:r>
            <w:r w:rsidRPr="00CB6B51">
              <w:rPr>
                <w:rFonts w:cs="Palatino Linotype"/>
                <w:color w:val="000000"/>
                <w:sz w:val="22"/>
                <w:szCs w:val="22"/>
              </w:rPr>
              <w:t xml:space="preserve">Specialized Literacy Professionals understand the theoretical and evidence-based foundations of literacy. </w:t>
            </w:r>
          </w:p>
        </w:tc>
      </w:tr>
      <w:tr w:rsidR="004A054A" w:rsidRPr="00226D95" w14:paraId="002C20AB" w14:textId="77777777" w:rsidTr="004A054A">
        <w:trPr>
          <w:trHeight w:val="1133"/>
          <w:jc w:val="center"/>
        </w:trPr>
        <w:tc>
          <w:tcPr>
            <w:tcW w:w="5490" w:type="dxa"/>
          </w:tcPr>
          <w:p w14:paraId="69F72BD0" w14:textId="0E0511FF" w:rsidR="004A054A" w:rsidRPr="00CB6B51" w:rsidRDefault="004A054A" w:rsidP="00CB6B51">
            <w:pPr>
              <w:pStyle w:val="CM19"/>
              <w:rPr>
                <w:rFonts w:cs="Palatino Linotype"/>
                <w:color w:val="000000"/>
                <w:sz w:val="22"/>
                <w:szCs w:val="22"/>
              </w:rPr>
            </w:pPr>
            <w:r w:rsidRPr="00F570AE">
              <w:t>1.1. Understand major theories and empirical research that describe the cognitive, linguistic, motivational, and sociocultural foundations of reading and writing development, processes, and components, including word recognition, language comprehension, strategic knowledge, and reading–writing connection</w:t>
            </w:r>
            <w:r w:rsidRPr="000173A7">
              <w:t>s</w:t>
            </w:r>
            <w:r w:rsidRPr="000173A7">
              <w:rPr>
                <w:rFonts w:cs="Palatino Linotype"/>
                <w:color w:val="000000"/>
                <w:sz w:val="22"/>
                <w:szCs w:val="22"/>
              </w:rPr>
              <w:t>.</w:t>
            </w:r>
          </w:p>
        </w:tc>
        <w:tc>
          <w:tcPr>
            <w:tcW w:w="1260" w:type="dxa"/>
          </w:tcPr>
          <w:p w14:paraId="4A58A90C"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465A0D12"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4E179F16" w14:textId="77777777" w:rsidTr="004A054A">
        <w:trPr>
          <w:jc w:val="center"/>
        </w:trPr>
        <w:tc>
          <w:tcPr>
            <w:tcW w:w="5490" w:type="dxa"/>
            <w:shd w:val="clear" w:color="auto" w:fill="auto"/>
          </w:tcPr>
          <w:p w14:paraId="678232A3" w14:textId="50FA5B26" w:rsidR="004A054A" w:rsidRPr="00BF174F" w:rsidRDefault="004A054A" w:rsidP="00BF174F">
            <w:pPr>
              <w:pStyle w:val="CM313"/>
              <w:ind w:right="302"/>
              <w:rPr>
                <w:rFonts w:cs="Palatino Linotype"/>
                <w:color w:val="000000"/>
                <w:sz w:val="22"/>
                <w:szCs w:val="22"/>
              </w:rPr>
            </w:pPr>
            <w:r w:rsidRPr="00BF174F">
              <w:rPr>
                <w:rFonts w:cs="Palatino Linotype"/>
                <w:color w:val="000000"/>
                <w:sz w:val="22"/>
                <w:szCs w:val="22"/>
              </w:rPr>
              <w:t>1</w:t>
            </w:r>
            <w:r>
              <w:rPr>
                <w:rFonts w:cs="Palatino Linotype"/>
                <w:color w:val="000000"/>
                <w:sz w:val="22"/>
                <w:szCs w:val="22"/>
              </w:rPr>
              <w:t>.2</w:t>
            </w:r>
            <w:r w:rsidRPr="00BF174F">
              <w:rPr>
                <w:rFonts w:cs="Palatino Linotype"/>
                <w:color w:val="000000"/>
                <w:sz w:val="22"/>
                <w:szCs w:val="22"/>
              </w:rPr>
              <w:t xml:space="preserve">. Understand the processes, principles, and dimensions of oral language acquisition and the relationship between oral language development, including vocabulary knowledge and literacy development. </w:t>
            </w:r>
          </w:p>
        </w:tc>
        <w:tc>
          <w:tcPr>
            <w:tcW w:w="1260" w:type="dxa"/>
            <w:shd w:val="clear" w:color="auto" w:fill="auto"/>
          </w:tcPr>
          <w:p w14:paraId="08DD7960" w14:textId="77777777" w:rsidR="004A054A" w:rsidRPr="00226D95" w:rsidRDefault="004A054A" w:rsidP="00872718">
            <w:pPr>
              <w:keepNext/>
              <w:spacing w:line="240" w:lineRule="auto"/>
              <w:jc w:val="center"/>
              <w:rPr>
                <w:rFonts w:ascii="Palatino Linotype" w:eastAsia="Palatino Linotype" w:hAnsi="Palatino Linotype" w:cs="Palatino Linotype"/>
                <w:b/>
                <w:sz w:val="20"/>
                <w:szCs w:val="20"/>
              </w:rPr>
            </w:pPr>
          </w:p>
        </w:tc>
        <w:tc>
          <w:tcPr>
            <w:tcW w:w="3865" w:type="dxa"/>
            <w:shd w:val="clear" w:color="auto" w:fill="auto"/>
          </w:tcPr>
          <w:p w14:paraId="33860967" w14:textId="77777777" w:rsidR="004A054A" w:rsidRPr="00226D95" w:rsidRDefault="004A054A" w:rsidP="00872718">
            <w:pPr>
              <w:spacing w:line="240" w:lineRule="auto"/>
              <w:jc w:val="center"/>
              <w:rPr>
                <w:rFonts w:ascii="Palatino Linotype" w:eastAsia="Palatino Linotype" w:hAnsi="Palatino Linotype" w:cs="Palatino Linotype"/>
                <w:b/>
                <w:sz w:val="20"/>
                <w:szCs w:val="20"/>
              </w:rPr>
            </w:pPr>
          </w:p>
        </w:tc>
      </w:tr>
      <w:tr w:rsidR="004A054A" w:rsidRPr="00226D95" w14:paraId="535A8B42" w14:textId="77777777" w:rsidTr="004A054A">
        <w:trPr>
          <w:trHeight w:val="140"/>
          <w:jc w:val="center"/>
        </w:trPr>
        <w:tc>
          <w:tcPr>
            <w:tcW w:w="5490" w:type="dxa"/>
          </w:tcPr>
          <w:p w14:paraId="7B3EE994" w14:textId="72FE74E5" w:rsidR="004A054A" w:rsidRPr="00175590" w:rsidRDefault="004A054A" w:rsidP="00175590">
            <w:pPr>
              <w:pStyle w:val="CM314"/>
              <w:ind w:right="97"/>
              <w:rPr>
                <w:rFonts w:cs="Palatino Linotype"/>
                <w:color w:val="000000"/>
                <w:sz w:val="22"/>
                <w:szCs w:val="22"/>
              </w:rPr>
            </w:pPr>
            <w:r w:rsidRPr="00175590">
              <w:rPr>
                <w:rFonts w:cs="Palatino Linotype"/>
                <w:color w:val="000000"/>
                <w:sz w:val="22"/>
                <w:szCs w:val="22"/>
              </w:rPr>
              <w:t>1.</w:t>
            </w:r>
            <w:r>
              <w:rPr>
                <w:rFonts w:cs="Palatino Linotype"/>
                <w:color w:val="000000"/>
                <w:sz w:val="22"/>
                <w:szCs w:val="22"/>
              </w:rPr>
              <w:t>3.</w:t>
            </w:r>
            <w:r w:rsidRPr="00175590">
              <w:rPr>
                <w:rFonts w:cs="Palatino Linotype"/>
                <w:color w:val="000000"/>
                <w:sz w:val="22"/>
                <w:szCs w:val="22"/>
              </w:rPr>
              <w:t xml:space="preserve"> Understand the interdependency of word structure, fluency, vocabulary, comprehension, and language and consider these relationships in the design of literacy instruction and assessment. </w:t>
            </w:r>
          </w:p>
        </w:tc>
        <w:tc>
          <w:tcPr>
            <w:tcW w:w="1260" w:type="dxa"/>
          </w:tcPr>
          <w:p w14:paraId="3793C3C2"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3AC9C005"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6F0EA64E" w14:textId="77777777" w:rsidTr="004A054A">
        <w:trPr>
          <w:trHeight w:val="683"/>
          <w:jc w:val="center"/>
        </w:trPr>
        <w:tc>
          <w:tcPr>
            <w:tcW w:w="5490" w:type="dxa"/>
          </w:tcPr>
          <w:p w14:paraId="539D5697" w14:textId="48F122BE" w:rsidR="004A054A" w:rsidRPr="00942BB2" w:rsidRDefault="004A054A" w:rsidP="00942BB2">
            <w:pPr>
              <w:pStyle w:val="CM290"/>
              <w:ind w:right="220"/>
              <w:rPr>
                <w:rFonts w:cs="Palatino Linotype"/>
                <w:color w:val="000000"/>
                <w:sz w:val="22"/>
                <w:szCs w:val="22"/>
              </w:rPr>
            </w:pPr>
            <w:r w:rsidRPr="00942BB2">
              <w:rPr>
                <w:rFonts w:cs="Palatino Linotype"/>
                <w:color w:val="000000"/>
                <w:sz w:val="22"/>
                <w:szCs w:val="22"/>
              </w:rPr>
              <w:t>1.</w:t>
            </w:r>
            <w:r>
              <w:rPr>
                <w:rFonts w:cs="Palatino Linotype"/>
                <w:color w:val="000000"/>
                <w:sz w:val="22"/>
                <w:szCs w:val="22"/>
              </w:rPr>
              <w:t>4</w:t>
            </w:r>
            <w:r w:rsidRPr="00942BB2">
              <w:rPr>
                <w:rFonts w:cs="Palatino Linotype"/>
                <w:color w:val="000000"/>
                <w:sz w:val="22"/>
                <w:szCs w:val="22"/>
              </w:rPr>
              <w:t xml:space="preserve">. Understand the characteristics and multiple causes of reading and writing difficulties, including how environmental/contextual and </w:t>
            </w:r>
            <w:r w:rsidRPr="00942BB2">
              <w:rPr>
                <w:rFonts w:cs="Palatino Linotype"/>
                <w:color w:val="000000"/>
                <w:sz w:val="22"/>
                <w:szCs w:val="22"/>
              </w:rPr>
              <w:lastRenderedPageBreak/>
              <w:t xml:space="preserve">physiological/neurological factors can influence language, reading, and writing development. </w:t>
            </w:r>
          </w:p>
        </w:tc>
        <w:tc>
          <w:tcPr>
            <w:tcW w:w="1260" w:type="dxa"/>
          </w:tcPr>
          <w:p w14:paraId="560FC31C"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35BCE45C"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4C992D11" w14:textId="77777777" w:rsidTr="004A054A">
        <w:trPr>
          <w:trHeight w:val="140"/>
          <w:jc w:val="center"/>
        </w:trPr>
        <w:tc>
          <w:tcPr>
            <w:tcW w:w="5490" w:type="dxa"/>
          </w:tcPr>
          <w:p w14:paraId="200EFDCB" w14:textId="48C976EC" w:rsidR="004A054A" w:rsidRPr="008E27C3" w:rsidRDefault="004A054A" w:rsidP="008E27C3">
            <w:pPr>
              <w:pStyle w:val="CM310"/>
              <w:ind w:right="525"/>
              <w:rPr>
                <w:rFonts w:cs="Palatino Linotype"/>
                <w:color w:val="000000"/>
                <w:sz w:val="22"/>
                <w:szCs w:val="22"/>
              </w:rPr>
            </w:pPr>
            <w:r w:rsidRPr="008E27C3">
              <w:rPr>
                <w:rFonts w:cs="Palatino Linotype"/>
                <w:color w:val="000000"/>
                <w:sz w:val="22"/>
                <w:szCs w:val="22"/>
              </w:rPr>
              <w:t>1.</w:t>
            </w:r>
            <w:r>
              <w:rPr>
                <w:rFonts w:cs="Palatino Linotype"/>
                <w:color w:val="000000"/>
                <w:sz w:val="22"/>
                <w:szCs w:val="22"/>
              </w:rPr>
              <w:t>5</w:t>
            </w:r>
            <w:r w:rsidRPr="008E27C3">
              <w:rPr>
                <w:rFonts w:cs="Palatino Linotype"/>
                <w:color w:val="000000"/>
                <w:sz w:val="22"/>
                <w:szCs w:val="22"/>
              </w:rPr>
              <w:t xml:space="preserve">. Understand the specific reading and writing expectations of PreK-12 students as described in state and national standards. </w:t>
            </w:r>
          </w:p>
        </w:tc>
        <w:tc>
          <w:tcPr>
            <w:tcW w:w="1260" w:type="dxa"/>
          </w:tcPr>
          <w:p w14:paraId="7A2B072B"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5FBF0630"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711C264E" w14:textId="77777777" w:rsidTr="004A054A">
        <w:trPr>
          <w:trHeight w:val="140"/>
          <w:jc w:val="center"/>
        </w:trPr>
        <w:tc>
          <w:tcPr>
            <w:tcW w:w="5490" w:type="dxa"/>
          </w:tcPr>
          <w:p w14:paraId="5CBCDA8C" w14:textId="672E9906" w:rsidR="004A054A" w:rsidRPr="00FA19C9" w:rsidRDefault="004A054A" w:rsidP="00FA19C9">
            <w:pPr>
              <w:pStyle w:val="Default"/>
              <w:spacing w:line="298" w:lineRule="atLeast"/>
              <w:rPr>
                <w:sz w:val="22"/>
                <w:szCs w:val="22"/>
              </w:rPr>
            </w:pPr>
            <w:r w:rsidRPr="00FA19C9">
              <w:rPr>
                <w:sz w:val="22"/>
                <w:szCs w:val="22"/>
              </w:rPr>
              <w:t>1.</w:t>
            </w:r>
            <w:r>
              <w:rPr>
                <w:sz w:val="22"/>
                <w:szCs w:val="22"/>
              </w:rPr>
              <w:t>6</w:t>
            </w:r>
            <w:r w:rsidRPr="00FA19C9">
              <w:rPr>
                <w:sz w:val="22"/>
                <w:szCs w:val="22"/>
              </w:rPr>
              <w:t xml:space="preserve">. Demonstrate broad knowledge of children’s and adolescent literature and informational texts that represent a range of world literatures, historical traditions, genres, and the experiences of different genders, ethnicities, and social classes. </w:t>
            </w:r>
          </w:p>
        </w:tc>
        <w:tc>
          <w:tcPr>
            <w:tcW w:w="1260" w:type="dxa"/>
          </w:tcPr>
          <w:p w14:paraId="54191B4E"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62394F22"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F23CCFF" w14:textId="77777777" w:rsidTr="004A054A">
        <w:trPr>
          <w:trHeight w:val="140"/>
          <w:jc w:val="center"/>
        </w:trPr>
        <w:tc>
          <w:tcPr>
            <w:tcW w:w="5490" w:type="dxa"/>
          </w:tcPr>
          <w:p w14:paraId="5FF67C24" w14:textId="0CA9E063" w:rsidR="004A054A" w:rsidRPr="009A54FF" w:rsidRDefault="004A054A" w:rsidP="009A54FF">
            <w:pPr>
              <w:pStyle w:val="CM68"/>
              <w:ind w:right="77"/>
              <w:rPr>
                <w:rFonts w:cs="Palatino Linotype"/>
                <w:color w:val="000000"/>
                <w:sz w:val="22"/>
                <w:szCs w:val="22"/>
              </w:rPr>
            </w:pPr>
            <w:r w:rsidRPr="009A54FF">
              <w:rPr>
                <w:rFonts w:cs="Palatino Linotype"/>
                <w:color w:val="000000"/>
                <w:sz w:val="22"/>
                <w:szCs w:val="22"/>
              </w:rPr>
              <w:t>1.</w:t>
            </w:r>
            <w:r>
              <w:rPr>
                <w:rFonts w:cs="Palatino Linotype"/>
                <w:color w:val="000000"/>
                <w:sz w:val="22"/>
                <w:szCs w:val="22"/>
              </w:rPr>
              <w:t>7</w:t>
            </w:r>
            <w:r w:rsidRPr="009A54FF">
              <w:rPr>
                <w:rFonts w:cs="Palatino Linotype"/>
                <w:color w:val="000000"/>
                <w:sz w:val="22"/>
                <w:szCs w:val="22"/>
              </w:rPr>
              <w:t xml:space="preserve">. Understand the historically shared knowledge of the profession and changes over time in the perceptions of reading and writing development, processes, and components. </w:t>
            </w:r>
          </w:p>
        </w:tc>
        <w:tc>
          <w:tcPr>
            <w:tcW w:w="1260" w:type="dxa"/>
          </w:tcPr>
          <w:p w14:paraId="0E054A05"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7BF56C97"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2D391BD7" w14:textId="77777777" w:rsidTr="004A054A">
        <w:trPr>
          <w:trHeight w:val="140"/>
          <w:jc w:val="center"/>
        </w:trPr>
        <w:tc>
          <w:tcPr>
            <w:tcW w:w="10615" w:type="dxa"/>
            <w:gridSpan w:val="3"/>
            <w:shd w:val="clear" w:color="auto" w:fill="D0CECE" w:themeFill="background2" w:themeFillShade="E6"/>
          </w:tcPr>
          <w:p w14:paraId="538EED79" w14:textId="526E7647" w:rsidR="004A054A" w:rsidRPr="00A97554" w:rsidRDefault="004A054A" w:rsidP="00A97554">
            <w:pPr>
              <w:pStyle w:val="Default"/>
              <w:rPr>
                <w:sz w:val="22"/>
                <w:szCs w:val="22"/>
              </w:rPr>
            </w:pPr>
            <w:r w:rsidRPr="00A97554">
              <w:rPr>
                <w:sz w:val="22"/>
                <w:szCs w:val="22"/>
              </w:rPr>
              <w:t>2</w:t>
            </w:r>
            <w:r>
              <w:rPr>
                <w:b/>
                <w:bCs/>
                <w:sz w:val="22"/>
                <w:szCs w:val="22"/>
              </w:rPr>
              <w:t xml:space="preserve">.  </w:t>
            </w:r>
            <w:r w:rsidRPr="005D6C5B">
              <w:rPr>
                <w:b/>
                <w:bCs/>
                <w:sz w:val="22"/>
                <w:szCs w:val="22"/>
              </w:rPr>
              <w:t xml:space="preserve">Curriculum and Instruction </w:t>
            </w:r>
            <w:r w:rsidRPr="005D6C5B">
              <w:rPr>
                <w:sz w:val="22"/>
                <w:szCs w:val="22"/>
              </w:rPr>
              <w:t xml:space="preserve">Specialized Literacy Professionals use instructional approaches, materials, and an integrated, comprehensive, balanced curriculum to support student learning in literacy. </w:t>
            </w:r>
          </w:p>
        </w:tc>
      </w:tr>
      <w:tr w:rsidR="004A054A" w:rsidRPr="00226D95" w14:paraId="339DC503" w14:textId="77777777" w:rsidTr="004A054A">
        <w:trPr>
          <w:trHeight w:val="140"/>
          <w:jc w:val="center"/>
        </w:trPr>
        <w:tc>
          <w:tcPr>
            <w:tcW w:w="5490" w:type="dxa"/>
          </w:tcPr>
          <w:p w14:paraId="02EDDBA1" w14:textId="0099E2FE" w:rsidR="004A054A" w:rsidRPr="001F66EA" w:rsidRDefault="004A054A" w:rsidP="001F66EA">
            <w:pPr>
              <w:pStyle w:val="CM19"/>
              <w:rPr>
                <w:rFonts w:cs="Palatino Linotype"/>
                <w:color w:val="000000"/>
                <w:sz w:val="22"/>
                <w:szCs w:val="22"/>
              </w:rPr>
            </w:pPr>
            <w:r w:rsidRPr="001F66EA">
              <w:rPr>
                <w:rFonts w:cs="Palatino Linotype"/>
                <w:color w:val="000000"/>
                <w:sz w:val="22"/>
                <w:szCs w:val="22"/>
              </w:rPr>
              <w:t>2.1. Use foundational knowledge to design, implement</w:t>
            </w:r>
            <w:r w:rsidR="004008AF">
              <w:rPr>
                <w:rFonts w:cs="Palatino Linotype"/>
                <w:color w:val="000000"/>
                <w:sz w:val="22"/>
                <w:szCs w:val="22"/>
              </w:rPr>
              <w:t>,</w:t>
            </w:r>
            <w:r w:rsidRPr="001F66EA">
              <w:rPr>
                <w:rFonts w:cs="Palatino Linotype"/>
                <w:color w:val="000000"/>
                <w:sz w:val="22"/>
                <w:szCs w:val="22"/>
              </w:rPr>
              <w:t xml:space="preserve"> and</w:t>
            </w:r>
            <w:r w:rsidR="0071464F">
              <w:rPr>
                <w:rFonts w:cs="Palatino Linotype"/>
                <w:color w:val="000000"/>
                <w:sz w:val="22"/>
                <w:szCs w:val="22"/>
              </w:rPr>
              <w:t xml:space="preserve"> </w:t>
            </w:r>
            <w:r w:rsidRPr="001F66EA">
              <w:rPr>
                <w:rFonts w:cs="Palatino Linotype"/>
                <w:color w:val="000000"/>
                <w:sz w:val="22"/>
                <w:szCs w:val="22"/>
              </w:rPr>
              <w:t xml:space="preserve">evaluate an integrated, comprehensive, and balanced curriculum. </w:t>
            </w:r>
          </w:p>
        </w:tc>
        <w:tc>
          <w:tcPr>
            <w:tcW w:w="1260" w:type="dxa"/>
          </w:tcPr>
          <w:p w14:paraId="7A0F5EC4"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3AB376A6"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72C21DE6" w14:textId="77777777" w:rsidTr="004A054A">
        <w:trPr>
          <w:trHeight w:val="140"/>
          <w:jc w:val="center"/>
        </w:trPr>
        <w:tc>
          <w:tcPr>
            <w:tcW w:w="5490" w:type="dxa"/>
          </w:tcPr>
          <w:p w14:paraId="24C8712E" w14:textId="09A30ADC" w:rsidR="004A054A" w:rsidRPr="009E14B1" w:rsidRDefault="004A054A" w:rsidP="009E14B1">
            <w:pPr>
              <w:pStyle w:val="CM315"/>
              <w:ind w:right="602"/>
              <w:rPr>
                <w:rFonts w:cs="Palatino Linotype"/>
                <w:color w:val="000000"/>
                <w:sz w:val="22"/>
                <w:szCs w:val="22"/>
              </w:rPr>
            </w:pPr>
            <w:r w:rsidRPr="009E14B1">
              <w:rPr>
                <w:rFonts w:cs="Palatino Linotype"/>
                <w:color w:val="000000"/>
                <w:sz w:val="22"/>
                <w:szCs w:val="22"/>
              </w:rPr>
              <w:t>2.</w:t>
            </w:r>
            <w:r>
              <w:rPr>
                <w:rFonts w:cs="Palatino Linotype"/>
                <w:color w:val="000000"/>
                <w:sz w:val="22"/>
                <w:szCs w:val="22"/>
              </w:rPr>
              <w:t>2.</w:t>
            </w:r>
            <w:r w:rsidRPr="009E14B1">
              <w:rPr>
                <w:rFonts w:cs="Palatino Linotype"/>
                <w:color w:val="000000"/>
                <w:sz w:val="22"/>
                <w:szCs w:val="22"/>
              </w:rPr>
              <w:t xml:space="preserve"> Provide opportunities for review and alignment of curriculum with standards. </w:t>
            </w:r>
          </w:p>
        </w:tc>
        <w:tc>
          <w:tcPr>
            <w:tcW w:w="1260" w:type="dxa"/>
          </w:tcPr>
          <w:p w14:paraId="38AAAE54"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06EEA456"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16F2D81E" w14:textId="77777777" w:rsidTr="004A054A">
        <w:trPr>
          <w:trHeight w:val="140"/>
          <w:jc w:val="center"/>
        </w:trPr>
        <w:tc>
          <w:tcPr>
            <w:tcW w:w="5490" w:type="dxa"/>
          </w:tcPr>
          <w:p w14:paraId="113AFA88" w14:textId="2AA1176B" w:rsidR="004A054A" w:rsidRPr="009E14B1" w:rsidRDefault="004A054A" w:rsidP="00D4625C">
            <w:pPr>
              <w:pStyle w:val="CM90"/>
              <w:ind w:right="277"/>
              <w:rPr>
                <w:rFonts w:cs="Palatino Linotype"/>
                <w:color w:val="000000"/>
                <w:sz w:val="22"/>
                <w:szCs w:val="22"/>
              </w:rPr>
            </w:pPr>
            <w:r w:rsidRPr="00D4625C">
              <w:rPr>
                <w:rFonts w:cs="Palatino Linotype"/>
                <w:color w:val="000000"/>
                <w:sz w:val="22"/>
                <w:szCs w:val="22"/>
              </w:rPr>
              <w:t>2.</w:t>
            </w:r>
            <w:r>
              <w:rPr>
                <w:rFonts w:cs="Palatino Linotype"/>
                <w:color w:val="000000"/>
                <w:sz w:val="22"/>
                <w:szCs w:val="22"/>
              </w:rPr>
              <w:t>3</w:t>
            </w:r>
            <w:r w:rsidRPr="00D4625C">
              <w:rPr>
                <w:rFonts w:cs="Palatino Linotype"/>
                <w:color w:val="000000"/>
                <w:sz w:val="22"/>
                <w:szCs w:val="22"/>
              </w:rPr>
              <w:t xml:space="preserve">. Use appropriate and varied instructional approaches, including those that develop word recognition, language comprehension, strategic knowledge, and interdisciplinary reading–writing connections. </w:t>
            </w:r>
          </w:p>
        </w:tc>
        <w:tc>
          <w:tcPr>
            <w:tcW w:w="1260" w:type="dxa"/>
          </w:tcPr>
          <w:p w14:paraId="1EA9EFCD"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78614E61"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0C0282B5" w14:textId="77777777" w:rsidTr="004A054A">
        <w:trPr>
          <w:trHeight w:val="140"/>
          <w:jc w:val="center"/>
        </w:trPr>
        <w:tc>
          <w:tcPr>
            <w:tcW w:w="5490" w:type="dxa"/>
          </w:tcPr>
          <w:p w14:paraId="67C40559" w14:textId="149745F4" w:rsidR="004A054A" w:rsidRPr="00344675" w:rsidRDefault="004A054A" w:rsidP="00344675">
            <w:pPr>
              <w:autoSpaceDE w:val="0"/>
              <w:autoSpaceDN w:val="0"/>
              <w:adjustRightInd w:val="0"/>
              <w:spacing w:line="298" w:lineRule="atLeast"/>
              <w:ind w:right="152"/>
              <w:rPr>
                <w:rFonts w:ascii="Palatino Linotype" w:hAnsi="Palatino Linotype" w:cs="Palatino Linotype"/>
                <w:color w:val="000000"/>
              </w:rPr>
            </w:pPr>
            <w:r w:rsidRPr="001E15C9">
              <w:rPr>
                <w:rFonts w:ascii="Palatino Linotype" w:hAnsi="Palatino Linotype" w:cs="Palatino Linotype"/>
                <w:color w:val="000000"/>
              </w:rPr>
              <w:t>2.</w:t>
            </w:r>
            <w:r>
              <w:rPr>
                <w:rFonts w:ascii="Palatino Linotype" w:hAnsi="Palatino Linotype" w:cs="Palatino Linotype"/>
                <w:color w:val="000000"/>
              </w:rPr>
              <w:t>4</w:t>
            </w:r>
            <w:r w:rsidRPr="001E15C9">
              <w:rPr>
                <w:rFonts w:ascii="Palatino Linotype" w:hAnsi="Palatino Linotype" w:cs="Palatino Linotype"/>
                <w:color w:val="000000"/>
              </w:rPr>
              <w:t>. Understand universal, targeted, and intensive</w:t>
            </w:r>
            <w:r w:rsidR="00400405">
              <w:rPr>
                <w:rFonts w:ascii="Palatino Linotype" w:hAnsi="Palatino Linotype" w:cs="Palatino Linotype"/>
                <w:color w:val="000000"/>
              </w:rPr>
              <w:t xml:space="preserve"> </w:t>
            </w:r>
            <w:r w:rsidRPr="001E15C9">
              <w:rPr>
                <w:rFonts w:ascii="Palatino Linotype" w:hAnsi="Palatino Linotype" w:cs="Palatino Linotype"/>
                <w:color w:val="000000"/>
              </w:rPr>
              <w:t xml:space="preserve">intervention, including in the design of IEPs/504s and multi-tiered support systems (tiered instruction). </w:t>
            </w:r>
          </w:p>
        </w:tc>
        <w:tc>
          <w:tcPr>
            <w:tcW w:w="1260" w:type="dxa"/>
          </w:tcPr>
          <w:p w14:paraId="660E12DA"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44F62823"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336DC57" w14:textId="77777777" w:rsidTr="004A054A">
        <w:trPr>
          <w:trHeight w:val="140"/>
          <w:jc w:val="center"/>
        </w:trPr>
        <w:tc>
          <w:tcPr>
            <w:tcW w:w="5490" w:type="dxa"/>
          </w:tcPr>
          <w:p w14:paraId="426E2828" w14:textId="406EA4FF" w:rsidR="004A054A" w:rsidRPr="001E15C9" w:rsidRDefault="004A054A" w:rsidP="00344675">
            <w:pPr>
              <w:autoSpaceDE w:val="0"/>
              <w:autoSpaceDN w:val="0"/>
              <w:adjustRightInd w:val="0"/>
              <w:spacing w:line="298" w:lineRule="atLeast"/>
              <w:ind w:right="152"/>
              <w:rPr>
                <w:rFonts w:ascii="Palatino Linotype" w:hAnsi="Palatino Linotype" w:cs="Palatino Linotype"/>
                <w:color w:val="000000"/>
              </w:rPr>
            </w:pPr>
            <w:r w:rsidRPr="001E15C9">
              <w:rPr>
                <w:rFonts w:ascii="Palatino Linotype" w:hAnsi="Palatino Linotype" w:cs="Palatino Linotype"/>
                <w:color w:val="000000"/>
              </w:rPr>
              <w:t>2.</w:t>
            </w:r>
            <w:r>
              <w:rPr>
                <w:rFonts w:ascii="Palatino Linotype" w:hAnsi="Palatino Linotype" w:cs="Palatino Linotype"/>
                <w:color w:val="000000"/>
              </w:rPr>
              <w:t>5</w:t>
            </w:r>
            <w:r w:rsidRPr="001E15C9">
              <w:rPr>
                <w:rFonts w:ascii="Palatino Linotype" w:hAnsi="Palatino Linotype" w:cs="Palatino Linotype"/>
                <w:color w:val="000000"/>
              </w:rPr>
              <w:t xml:space="preserve">. Understand the purposes and eligibility criteria of various federal and state supplemental and intervention programs designed to help students with reading and writing difficulties. </w:t>
            </w:r>
          </w:p>
        </w:tc>
        <w:tc>
          <w:tcPr>
            <w:tcW w:w="1260" w:type="dxa"/>
          </w:tcPr>
          <w:p w14:paraId="17076817"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123100DE"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1E8763BF" w14:textId="77777777" w:rsidTr="004A054A">
        <w:trPr>
          <w:trHeight w:val="140"/>
          <w:jc w:val="center"/>
        </w:trPr>
        <w:tc>
          <w:tcPr>
            <w:tcW w:w="5490" w:type="dxa"/>
          </w:tcPr>
          <w:p w14:paraId="26184A64" w14:textId="3110443D" w:rsidR="004A054A" w:rsidRPr="001E15C9" w:rsidRDefault="004A054A" w:rsidP="000E5C55">
            <w:pPr>
              <w:autoSpaceDE w:val="0"/>
              <w:autoSpaceDN w:val="0"/>
              <w:adjustRightInd w:val="0"/>
              <w:spacing w:line="298" w:lineRule="atLeast"/>
              <w:ind w:right="417"/>
              <w:rPr>
                <w:rFonts w:ascii="Palatino Linotype" w:hAnsi="Palatino Linotype" w:cs="Palatino Linotype"/>
                <w:color w:val="000000"/>
              </w:rPr>
            </w:pPr>
            <w:r w:rsidRPr="001E15C9">
              <w:rPr>
                <w:rFonts w:ascii="Palatino Linotype" w:hAnsi="Palatino Linotype" w:cs="Palatino Linotype"/>
                <w:color w:val="000000"/>
              </w:rPr>
              <w:t>2.</w:t>
            </w:r>
            <w:r>
              <w:rPr>
                <w:rFonts w:ascii="Palatino Linotype" w:hAnsi="Palatino Linotype" w:cs="Palatino Linotype"/>
                <w:color w:val="000000"/>
              </w:rPr>
              <w:t>6</w:t>
            </w:r>
            <w:r w:rsidRPr="001E15C9">
              <w:rPr>
                <w:rFonts w:ascii="Palatino Linotype" w:hAnsi="Palatino Linotype" w:cs="Palatino Linotype"/>
                <w:color w:val="000000"/>
              </w:rPr>
              <w:t xml:space="preserve">. Demonstrate a critical stance towards instructional materials used for literacy instruction. </w:t>
            </w:r>
          </w:p>
        </w:tc>
        <w:tc>
          <w:tcPr>
            <w:tcW w:w="1260" w:type="dxa"/>
          </w:tcPr>
          <w:p w14:paraId="0CEAA956"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216EF4E7"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71C5658E" w14:textId="77777777" w:rsidTr="004A054A">
        <w:trPr>
          <w:trHeight w:val="140"/>
          <w:jc w:val="center"/>
        </w:trPr>
        <w:tc>
          <w:tcPr>
            <w:tcW w:w="5490" w:type="dxa"/>
          </w:tcPr>
          <w:p w14:paraId="0641A03B" w14:textId="5FDC1634" w:rsidR="004A054A" w:rsidRPr="001E15C9" w:rsidRDefault="004A054A" w:rsidP="006D13CD">
            <w:pPr>
              <w:autoSpaceDE w:val="0"/>
              <w:autoSpaceDN w:val="0"/>
              <w:adjustRightInd w:val="0"/>
              <w:spacing w:line="298" w:lineRule="atLeast"/>
              <w:ind w:right="220"/>
              <w:rPr>
                <w:rFonts w:ascii="Palatino Linotype" w:hAnsi="Palatino Linotype" w:cs="Palatino Linotype"/>
                <w:color w:val="000000"/>
              </w:rPr>
            </w:pPr>
            <w:r w:rsidRPr="001E15C9">
              <w:rPr>
                <w:rFonts w:ascii="Palatino Linotype" w:hAnsi="Palatino Linotype" w:cs="Palatino Linotype"/>
                <w:color w:val="000000"/>
              </w:rPr>
              <w:t>2.</w:t>
            </w:r>
            <w:r>
              <w:rPr>
                <w:rFonts w:ascii="Palatino Linotype" w:hAnsi="Palatino Linotype" w:cs="Palatino Linotype"/>
                <w:color w:val="000000"/>
              </w:rPr>
              <w:t>7</w:t>
            </w:r>
            <w:r w:rsidRPr="001E15C9">
              <w:rPr>
                <w:rFonts w:ascii="Palatino Linotype" w:hAnsi="Palatino Linotype" w:cs="Palatino Linotype"/>
                <w:color w:val="000000"/>
              </w:rPr>
              <w:t>. Develop and implement the curriculum to meet the specific needs of all students based on instructional data and learning trajectories</w:t>
            </w:r>
            <w:r w:rsidR="003045FE">
              <w:rPr>
                <w:rFonts w:ascii="Palatino Linotype" w:hAnsi="Palatino Linotype" w:cs="Palatino Linotype"/>
                <w:color w:val="000000"/>
              </w:rPr>
              <w:t>.</w:t>
            </w:r>
            <w:r w:rsidRPr="001E15C9">
              <w:rPr>
                <w:rFonts w:ascii="Palatino Linotype" w:hAnsi="Palatino Linotype" w:cs="Palatino Linotype"/>
                <w:color w:val="000000"/>
              </w:rPr>
              <w:t xml:space="preserve"> </w:t>
            </w:r>
          </w:p>
        </w:tc>
        <w:tc>
          <w:tcPr>
            <w:tcW w:w="1260" w:type="dxa"/>
          </w:tcPr>
          <w:p w14:paraId="1EACB28E"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624AB120"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52187811" w14:textId="77777777" w:rsidTr="004A054A">
        <w:trPr>
          <w:trHeight w:val="140"/>
          <w:jc w:val="center"/>
        </w:trPr>
        <w:tc>
          <w:tcPr>
            <w:tcW w:w="5490" w:type="dxa"/>
          </w:tcPr>
          <w:p w14:paraId="60A7C4BB" w14:textId="770A49EB" w:rsidR="004A054A" w:rsidRPr="001E15C9" w:rsidRDefault="004A054A" w:rsidP="006D13CD">
            <w:pPr>
              <w:autoSpaceDE w:val="0"/>
              <w:autoSpaceDN w:val="0"/>
              <w:adjustRightInd w:val="0"/>
              <w:spacing w:line="298" w:lineRule="atLeast"/>
              <w:ind w:right="220"/>
              <w:rPr>
                <w:rFonts w:ascii="Palatino Linotype" w:hAnsi="Palatino Linotype" w:cs="Palatino Linotype"/>
                <w:color w:val="000000"/>
              </w:rPr>
            </w:pPr>
            <w:r w:rsidRPr="001E15C9">
              <w:rPr>
                <w:rFonts w:ascii="Palatino Linotype" w:hAnsi="Palatino Linotype" w:cs="Palatino Linotype"/>
                <w:color w:val="000000"/>
              </w:rPr>
              <w:lastRenderedPageBreak/>
              <w:t>2.</w:t>
            </w:r>
            <w:r>
              <w:rPr>
                <w:rFonts w:ascii="Palatino Linotype" w:hAnsi="Palatino Linotype" w:cs="Palatino Linotype"/>
                <w:color w:val="000000"/>
              </w:rPr>
              <w:t>8</w:t>
            </w:r>
            <w:r w:rsidRPr="001E15C9">
              <w:rPr>
                <w:rFonts w:ascii="Palatino Linotype" w:hAnsi="Palatino Linotype" w:cs="Palatino Linotype"/>
                <w:color w:val="000000"/>
              </w:rPr>
              <w:t xml:space="preserve">. Support teachers and administrators in the design, implementation, and evaluation of a literacy curriculum across PreK–12 </w:t>
            </w:r>
          </w:p>
        </w:tc>
        <w:tc>
          <w:tcPr>
            <w:tcW w:w="1260" w:type="dxa"/>
          </w:tcPr>
          <w:p w14:paraId="1F332D1A"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0955F8E5"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D64B88E" w14:textId="77777777" w:rsidTr="004A054A">
        <w:trPr>
          <w:trHeight w:val="140"/>
          <w:jc w:val="center"/>
        </w:trPr>
        <w:tc>
          <w:tcPr>
            <w:tcW w:w="5490" w:type="dxa"/>
          </w:tcPr>
          <w:p w14:paraId="6713E1D7" w14:textId="5F53D721" w:rsidR="004A054A" w:rsidRPr="00AF0F7D" w:rsidRDefault="004A054A" w:rsidP="00AF0F7D">
            <w:pPr>
              <w:autoSpaceDE w:val="0"/>
              <w:autoSpaceDN w:val="0"/>
              <w:adjustRightInd w:val="0"/>
              <w:spacing w:line="240" w:lineRule="auto"/>
              <w:rPr>
                <w:rFonts w:ascii="Palatino Linotype" w:eastAsiaTheme="minorHAnsi" w:hAnsi="Palatino Linotype" w:cs="Palatino Linotype"/>
                <w:color w:val="000000"/>
                <w:lang w:val="en-US"/>
              </w:rPr>
            </w:pPr>
            <w:r w:rsidRPr="00AF0F7D">
              <w:rPr>
                <w:rFonts w:ascii="Palatino Linotype" w:eastAsiaTheme="minorHAnsi" w:hAnsi="Palatino Linotype" w:cs="Palatino Linotype"/>
                <w:color w:val="000000"/>
                <w:sz w:val="24"/>
                <w:szCs w:val="24"/>
                <w:lang w:val="en-US"/>
              </w:rPr>
              <w:t>2.</w:t>
            </w:r>
            <w:r>
              <w:rPr>
                <w:rFonts w:ascii="Palatino Linotype" w:eastAsiaTheme="minorHAnsi" w:hAnsi="Palatino Linotype" w:cs="Palatino Linotype"/>
                <w:color w:val="000000"/>
                <w:sz w:val="24"/>
                <w:szCs w:val="24"/>
                <w:lang w:val="en-US"/>
              </w:rPr>
              <w:t>9</w:t>
            </w:r>
            <w:r w:rsidRPr="00AF0F7D">
              <w:rPr>
                <w:rFonts w:ascii="Palatino Linotype" w:eastAsiaTheme="minorHAnsi" w:hAnsi="Palatino Linotype" w:cs="Palatino Linotype"/>
                <w:color w:val="000000"/>
                <w:sz w:val="24"/>
                <w:szCs w:val="24"/>
                <w:lang w:val="en-US"/>
              </w:rPr>
              <w:t xml:space="preserve">. </w:t>
            </w:r>
            <w:r w:rsidRPr="0089694E">
              <w:rPr>
                <w:rFonts w:ascii="Palatino Linotype" w:eastAsiaTheme="minorHAnsi" w:hAnsi="Palatino Linotype" w:cs="Palatino Linotype"/>
                <w:color w:val="000000"/>
                <w:lang w:val="en-US"/>
              </w:rPr>
              <w:t xml:space="preserve">Support teachers in implementing curriculum that allows for demonstration </w:t>
            </w:r>
            <w:r w:rsidR="00C42324">
              <w:rPr>
                <w:rFonts w:ascii="Palatino Linotype" w:eastAsiaTheme="minorHAnsi" w:hAnsi="Palatino Linotype" w:cs="Palatino Linotype"/>
                <w:color w:val="000000"/>
                <w:lang w:val="en-US"/>
              </w:rPr>
              <w:t>o</w:t>
            </w:r>
            <w:r w:rsidRPr="0089694E">
              <w:rPr>
                <w:rFonts w:ascii="Palatino Linotype" w:eastAsiaTheme="minorHAnsi" w:hAnsi="Palatino Linotype" w:cs="Palatino Linotype"/>
                <w:color w:val="000000"/>
                <w:lang w:val="en-US"/>
              </w:rPr>
              <w:t xml:space="preserve">f literacy across multiple disciplines. </w:t>
            </w:r>
          </w:p>
        </w:tc>
        <w:tc>
          <w:tcPr>
            <w:tcW w:w="1260" w:type="dxa"/>
          </w:tcPr>
          <w:p w14:paraId="00CBDBC3"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27BA7579"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708E049F" w14:textId="77777777" w:rsidTr="004A054A">
        <w:trPr>
          <w:trHeight w:val="140"/>
          <w:jc w:val="center"/>
        </w:trPr>
        <w:tc>
          <w:tcPr>
            <w:tcW w:w="10615" w:type="dxa"/>
            <w:gridSpan w:val="3"/>
            <w:shd w:val="clear" w:color="auto" w:fill="D0CECE" w:themeFill="background2" w:themeFillShade="E6"/>
          </w:tcPr>
          <w:p w14:paraId="018BF04A" w14:textId="4FD5CB8E" w:rsidR="004A054A" w:rsidRPr="0029005A" w:rsidRDefault="004A054A" w:rsidP="0029005A">
            <w:pPr>
              <w:autoSpaceDE w:val="0"/>
              <w:autoSpaceDN w:val="0"/>
              <w:adjustRightInd w:val="0"/>
              <w:spacing w:line="240" w:lineRule="auto"/>
              <w:rPr>
                <w:rFonts w:ascii="Palatino Linotype" w:eastAsiaTheme="minorHAnsi" w:hAnsi="Palatino Linotype" w:cs="Palatino Linotype"/>
                <w:color w:val="000000"/>
                <w:lang w:val="en-US"/>
              </w:rPr>
            </w:pPr>
            <w:r>
              <w:rPr>
                <w:rFonts w:ascii="Palatino Linotype" w:eastAsiaTheme="minorHAnsi" w:hAnsi="Palatino Linotype" w:cs="Palatino Linotype"/>
                <w:color w:val="000000"/>
                <w:sz w:val="24"/>
                <w:szCs w:val="24"/>
                <w:lang w:val="en-US"/>
              </w:rPr>
              <w:t xml:space="preserve">3. </w:t>
            </w:r>
            <w:r w:rsidRPr="00B543AA">
              <w:rPr>
                <w:rFonts w:ascii="Palatino Linotype" w:eastAsiaTheme="minorHAnsi" w:hAnsi="Palatino Linotype" w:cs="Palatino Linotype"/>
                <w:b/>
                <w:bCs/>
                <w:color w:val="000000"/>
                <w:lang w:val="en-US"/>
              </w:rPr>
              <w:t xml:space="preserve">Assessment and Evaluation </w:t>
            </w:r>
            <w:r w:rsidRPr="00B543AA">
              <w:rPr>
                <w:rFonts w:ascii="Palatino Linotype" w:eastAsiaTheme="minorHAnsi" w:hAnsi="Palatino Linotype" w:cs="Palatino Linotype"/>
                <w:color w:val="000000"/>
                <w:lang w:val="en-US"/>
              </w:rPr>
              <w:t>Specialized Literacy Professionals use a variety of assessment tools and practices to plan and evaluate effective literacy instruction.</w:t>
            </w:r>
            <w:r w:rsidRPr="00B543AA">
              <w:rPr>
                <w:rFonts w:ascii="Palatino Linotype" w:eastAsiaTheme="minorHAnsi" w:hAnsi="Palatino Linotype" w:cs="Palatino Linotype"/>
                <w:color w:val="000000"/>
                <w:u w:val="single"/>
                <w:lang w:val="en-US"/>
              </w:rPr>
              <w:t xml:space="preserve"> </w:t>
            </w:r>
          </w:p>
        </w:tc>
      </w:tr>
      <w:tr w:rsidR="004A054A" w:rsidRPr="00226D95" w14:paraId="589B44B6" w14:textId="77777777" w:rsidTr="004A054A">
        <w:trPr>
          <w:trHeight w:val="140"/>
          <w:jc w:val="center"/>
        </w:trPr>
        <w:tc>
          <w:tcPr>
            <w:tcW w:w="5490" w:type="dxa"/>
          </w:tcPr>
          <w:p w14:paraId="2E303730" w14:textId="40F9E455" w:rsidR="004A054A" w:rsidRPr="00680574" w:rsidRDefault="004A054A" w:rsidP="00680574">
            <w:pPr>
              <w:autoSpaceDE w:val="0"/>
              <w:autoSpaceDN w:val="0"/>
              <w:adjustRightInd w:val="0"/>
              <w:spacing w:line="240" w:lineRule="auto"/>
              <w:rPr>
                <w:rFonts w:ascii="Palatino Linotype" w:eastAsiaTheme="minorHAnsi" w:hAnsi="Palatino Linotype" w:cs="Palatino Linotype"/>
                <w:color w:val="000000"/>
                <w:sz w:val="24"/>
                <w:szCs w:val="24"/>
                <w:lang w:val="en-US"/>
              </w:rPr>
            </w:pPr>
            <w:r w:rsidRPr="00680574">
              <w:rPr>
                <w:rFonts w:ascii="Palatino Linotype" w:eastAsiaTheme="minorHAnsi" w:hAnsi="Palatino Linotype" w:cs="Palatino Linotype"/>
                <w:color w:val="000000"/>
                <w:lang w:val="en-US"/>
              </w:rPr>
              <w:t>3.1. Understand types of assessments and their purposes, strengths, and limitations and apply them appropriately in instructional settings.</w:t>
            </w:r>
          </w:p>
        </w:tc>
        <w:tc>
          <w:tcPr>
            <w:tcW w:w="1260" w:type="dxa"/>
          </w:tcPr>
          <w:p w14:paraId="0AC205AE"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5060A480"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A804257" w14:textId="77777777" w:rsidTr="004A054A">
        <w:trPr>
          <w:trHeight w:val="140"/>
          <w:jc w:val="center"/>
        </w:trPr>
        <w:tc>
          <w:tcPr>
            <w:tcW w:w="5490" w:type="dxa"/>
          </w:tcPr>
          <w:p w14:paraId="3ACC8100" w14:textId="11E0FFD8" w:rsidR="004A054A" w:rsidRPr="00D57493" w:rsidRDefault="004A054A" w:rsidP="00B543AA">
            <w:pPr>
              <w:autoSpaceDE w:val="0"/>
              <w:autoSpaceDN w:val="0"/>
              <w:adjustRightInd w:val="0"/>
              <w:spacing w:line="240" w:lineRule="auto"/>
              <w:rPr>
                <w:rFonts w:ascii="Palatino Linotype" w:eastAsiaTheme="minorHAnsi" w:hAnsi="Palatino Linotype" w:cs="Palatino Linotype"/>
                <w:color w:val="000000"/>
                <w:sz w:val="24"/>
                <w:szCs w:val="24"/>
                <w:lang w:val="en-US"/>
              </w:rPr>
            </w:pPr>
            <w:r w:rsidRPr="001E15C9">
              <w:rPr>
                <w:rFonts w:ascii="Palatino Linotype" w:hAnsi="Palatino Linotype" w:cs="Palatino Linotype"/>
                <w:color w:val="000000"/>
              </w:rPr>
              <w:t>3.2. Explain assessment designs, state and district assessment frameworks, proficiency standards, and benchmarks.</w:t>
            </w:r>
          </w:p>
        </w:tc>
        <w:tc>
          <w:tcPr>
            <w:tcW w:w="1260" w:type="dxa"/>
          </w:tcPr>
          <w:p w14:paraId="527DBEC8"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3D0CDA12"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1C6E2048" w14:textId="77777777" w:rsidTr="004A054A">
        <w:trPr>
          <w:trHeight w:val="140"/>
          <w:jc w:val="center"/>
        </w:trPr>
        <w:tc>
          <w:tcPr>
            <w:tcW w:w="5490" w:type="dxa"/>
          </w:tcPr>
          <w:p w14:paraId="40BAC968" w14:textId="7AE76A00" w:rsidR="004A054A" w:rsidRPr="00DD4300" w:rsidRDefault="004A054A" w:rsidP="00213E38">
            <w:pPr>
              <w:autoSpaceDE w:val="0"/>
              <w:autoSpaceDN w:val="0"/>
              <w:adjustRightInd w:val="0"/>
              <w:spacing w:line="298" w:lineRule="atLeast"/>
              <w:rPr>
                <w:rFonts w:ascii="Palatino Linotype" w:hAnsi="Palatino Linotype" w:cs="Palatino Linotype"/>
                <w:color w:val="000000"/>
              </w:rPr>
            </w:pPr>
            <w:r w:rsidRPr="00DD4300">
              <w:rPr>
                <w:rFonts w:ascii="Palatino Linotype" w:hAnsi="Palatino Linotype" w:cs="Palatino Linotype"/>
                <w:color w:val="000000"/>
              </w:rPr>
              <w:t xml:space="preserve">3.3. Support the development of a sound, feasible, comprehensive assessment program within schools and across schools and within the district. </w:t>
            </w:r>
          </w:p>
        </w:tc>
        <w:tc>
          <w:tcPr>
            <w:tcW w:w="1260" w:type="dxa"/>
          </w:tcPr>
          <w:p w14:paraId="58CD790A"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5DA961CD"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24AD5FDE" w14:textId="77777777" w:rsidTr="004A054A">
        <w:trPr>
          <w:trHeight w:val="140"/>
          <w:jc w:val="center"/>
        </w:trPr>
        <w:tc>
          <w:tcPr>
            <w:tcW w:w="5490" w:type="dxa"/>
          </w:tcPr>
          <w:p w14:paraId="0761FAA5" w14:textId="568A3246" w:rsidR="004A054A" w:rsidRPr="00DD4300" w:rsidRDefault="004A054A" w:rsidP="00943366">
            <w:pPr>
              <w:pStyle w:val="Default"/>
              <w:rPr>
                <w:sz w:val="22"/>
                <w:szCs w:val="22"/>
              </w:rPr>
            </w:pPr>
            <w:r w:rsidRPr="00DD4300">
              <w:rPr>
                <w:sz w:val="22"/>
                <w:szCs w:val="22"/>
              </w:rPr>
              <w:t>3.4. Use assessment information from multiple data sources to evaluate the efficacy of instruction and make instructional and programmatic decisions. Use student data to facilitate and advise curricular development, grouping, and literacy staffing pattern decisions across and within schools and the district.</w:t>
            </w:r>
          </w:p>
        </w:tc>
        <w:tc>
          <w:tcPr>
            <w:tcW w:w="1260" w:type="dxa"/>
          </w:tcPr>
          <w:p w14:paraId="54D94FD3"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2FD84139"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58EE64AD" w14:textId="77777777" w:rsidTr="004A054A">
        <w:trPr>
          <w:trHeight w:val="140"/>
          <w:jc w:val="center"/>
        </w:trPr>
        <w:tc>
          <w:tcPr>
            <w:tcW w:w="5490" w:type="dxa"/>
          </w:tcPr>
          <w:p w14:paraId="4BDA6FF6" w14:textId="7314FBB2" w:rsidR="004A054A" w:rsidRPr="00CB4808" w:rsidRDefault="004A054A" w:rsidP="00B543AA">
            <w:pPr>
              <w:autoSpaceDE w:val="0"/>
              <w:autoSpaceDN w:val="0"/>
              <w:adjustRightInd w:val="0"/>
              <w:spacing w:line="240" w:lineRule="auto"/>
              <w:rPr>
                <w:rFonts w:ascii="Palatino Linotype" w:hAnsi="Palatino Linotype" w:cs="Palatino Linotype"/>
                <w:color w:val="000000"/>
              </w:rPr>
            </w:pPr>
            <w:r w:rsidRPr="001E15C9">
              <w:rPr>
                <w:rFonts w:ascii="Palatino Linotype" w:hAnsi="Palatino Linotype" w:cs="Palatino Linotype"/>
                <w:color w:val="000000"/>
              </w:rPr>
              <w:t>3.</w:t>
            </w:r>
            <w:r>
              <w:rPr>
                <w:rFonts w:ascii="Palatino Linotype" w:hAnsi="Palatino Linotype" w:cs="Palatino Linotype"/>
                <w:color w:val="000000"/>
              </w:rPr>
              <w:t>5</w:t>
            </w:r>
            <w:r w:rsidRPr="001E15C9">
              <w:rPr>
                <w:rFonts w:ascii="Palatino Linotype" w:hAnsi="Palatino Linotype" w:cs="Palatino Linotype"/>
                <w:color w:val="000000"/>
              </w:rPr>
              <w:t xml:space="preserve">. </w:t>
            </w:r>
            <w:r>
              <w:rPr>
                <w:rFonts w:ascii="Palatino Linotype" w:hAnsi="Palatino Linotype" w:cs="Palatino Linotype"/>
                <w:color w:val="000000"/>
              </w:rPr>
              <w:t xml:space="preserve">Analyze </w:t>
            </w:r>
            <w:r w:rsidRPr="001E15C9">
              <w:rPr>
                <w:rFonts w:ascii="Palatino Linotype" w:hAnsi="Palatino Linotype" w:cs="Palatino Linotype"/>
                <w:color w:val="000000"/>
              </w:rPr>
              <w:t>assessment results and implications</w:t>
            </w:r>
            <w:r>
              <w:rPr>
                <w:rFonts w:ascii="Palatino Linotype" w:hAnsi="Palatino Linotype" w:cs="Palatino Linotype"/>
                <w:color w:val="000000"/>
              </w:rPr>
              <w:t xml:space="preserve"> and c</w:t>
            </w:r>
            <w:r w:rsidRPr="001E15C9">
              <w:rPr>
                <w:rFonts w:ascii="Palatino Linotype" w:hAnsi="Palatino Linotype" w:cs="Palatino Linotype"/>
                <w:color w:val="000000"/>
              </w:rPr>
              <w:t>ommunicate</w:t>
            </w:r>
            <w:r>
              <w:rPr>
                <w:rFonts w:ascii="Palatino Linotype" w:hAnsi="Palatino Linotype" w:cs="Palatino Linotype"/>
                <w:color w:val="000000"/>
              </w:rPr>
              <w:t xml:space="preserve"> them</w:t>
            </w:r>
            <w:r w:rsidRPr="001E15C9">
              <w:rPr>
                <w:rFonts w:ascii="Palatino Linotype" w:hAnsi="Palatino Linotype" w:cs="Palatino Linotype"/>
                <w:color w:val="000000"/>
              </w:rPr>
              <w:t xml:space="preserve"> to a variety of audiences.</w:t>
            </w:r>
          </w:p>
        </w:tc>
        <w:tc>
          <w:tcPr>
            <w:tcW w:w="1260" w:type="dxa"/>
          </w:tcPr>
          <w:p w14:paraId="160602DE"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7FA8B199"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1201DB07" w14:textId="77777777" w:rsidTr="004A054A">
        <w:trPr>
          <w:trHeight w:val="140"/>
          <w:jc w:val="center"/>
        </w:trPr>
        <w:tc>
          <w:tcPr>
            <w:tcW w:w="10615" w:type="dxa"/>
            <w:gridSpan w:val="3"/>
            <w:shd w:val="clear" w:color="auto" w:fill="D0CECE" w:themeFill="background2" w:themeFillShade="E6"/>
          </w:tcPr>
          <w:p w14:paraId="06C6C1B4" w14:textId="11E635EA" w:rsidR="004A054A" w:rsidRPr="005E3A52" w:rsidRDefault="004A054A" w:rsidP="005E3A52">
            <w:pPr>
              <w:autoSpaceDE w:val="0"/>
              <w:autoSpaceDN w:val="0"/>
              <w:adjustRightInd w:val="0"/>
              <w:spacing w:line="240" w:lineRule="auto"/>
              <w:rPr>
                <w:rFonts w:ascii="Palatino Linotype" w:eastAsiaTheme="minorHAnsi" w:hAnsi="Palatino Linotype" w:cs="Palatino Linotype"/>
                <w:color w:val="000000"/>
                <w:lang w:val="en-US"/>
              </w:rPr>
            </w:pPr>
            <w:r>
              <w:rPr>
                <w:rFonts w:ascii="Palatino Linotype" w:eastAsiaTheme="minorHAnsi" w:hAnsi="Palatino Linotype" w:cs="Palatino Linotype"/>
                <w:color w:val="000000"/>
                <w:sz w:val="24"/>
                <w:szCs w:val="24"/>
                <w:lang w:val="en-US"/>
              </w:rPr>
              <w:t xml:space="preserve">4. </w:t>
            </w:r>
            <w:r w:rsidRPr="005E3A52">
              <w:rPr>
                <w:rFonts w:ascii="Palatino Linotype" w:eastAsiaTheme="minorHAnsi" w:hAnsi="Palatino Linotype" w:cs="Palatino Linotype"/>
                <w:b/>
                <w:bCs/>
                <w:color w:val="000000"/>
                <w:lang w:val="en-US"/>
              </w:rPr>
              <w:t xml:space="preserve">Diversity </w:t>
            </w:r>
            <w:r w:rsidRPr="005E3A52">
              <w:rPr>
                <w:rFonts w:ascii="Palatino Linotype" w:eastAsiaTheme="minorHAnsi" w:hAnsi="Palatino Linotype" w:cs="Palatino Linotype"/>
                <w:color w:val="000000"/>
                <w:lang w:val="en-US"/>
              </w:rPr>
              <w:t>Specialized Literacy Professionals create and engage their students in literacy practices that develop awareness, understanding, respect, and a valuing of differences in society. For this section we use the current definition of the ILA definition of diversity.</w:t>
            </w:r>
            <w:r w:rsidRPr="005E3A52">
              <w:rPr>
                <w:rFonts w:ascii="Palatino Linotype" w:eastAsiaTheme="minorHAnsi" w:hAnsi="Palatino Linotype" w:cs="Palatino Linotype"/>
                <w:color w:val="000000"/>
                <w:u w:val="single"/>
                <w:lang w:val="en-US"/>
              </w:rPr>
              <w:t xml:space="preserve"> </w:t>
            </w:r>
          </w:p>
        </w:tc>
      </w:tr>
      <w:tr w:rsidR="004A054A" w:rsidRPr="00226D95" w14:paraId="7AC9A697" w14:textId="77777777" w:rsidTr="004A054A">
        <w:trPr>
          <w:trHeight w:val="140"/>
          <w:jc w:val="center"/>
        </w:trPr>
        <w:tc>
          <w:tcPr>
            <w:tcW w:w="5490" w:type="dxa"/>
          </w:tcPr>
          <w:p w14:paraId="4A82A2C7" w14:textId="6338E1F2" w:rsidR="004A054A" w:rsidRPr="00C76CEE" w:rsidRDefault="004A054A" w:rsidP="00C76CEE">
            <w:pPr>
              <w:autoSpaceDE w:val="0"/>
              <w:autoSpaceDN w:val="0"/>
              <w:adjustRightInd w:val="0"/>
              <w:spacing w:line="240" w:lineRule="auto"/>
              <w:rPr>
                <w:rFonts w:ascii="Palatino Linotype" w:hAnsi="Palatino Linotype" w:cs="Palatino Linotype"/>
                <w:color w:val="000000"/>
              </w:rPr>
            </w:pPr>
            <w:r w:rsidRPr="00C76CEE">
              <w:rPr>
                <w:rFonts w:ascii="Palatino Linotype" w:eastAsiaTheme="minorHAnsi" w:hAnsi="Palatino Linotype" w:cs="Palatino Linotype"/>
                <w:color w:val="000000"/>
                <w:lang w:val="en-US"/>
              </w:rPr>
              <w:t>4.1. Recognize, understand, and value the many forms of diversity that exist in society and their importance in the development of learning to read and write.</w:t>
            </w:r>
          </w:p>
        </w:tc>
        <w:tc>
          <w:tcPr>
            <w:tcW w:w="1260" w:type="dxa"/>
          </w:tcPr>
          <w:p w14:paraId="10AB7C9F"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1DD88873"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2DD2B527" w14:textId="77777777" w:rsidTr="004A054A">
        <w:trPr>
          <w:trHeight w:val="140"/>
          <w:jc w:val="center"/>
        </w:trPr>
        <w:tc>
          <w:tcPr>
            <w:tcW w:w="5490" w:type="dxa"/>
          </w:tcPr>
          <w:p w14:paraId="09AA243F" w14:textId="299BE903" w:rsidR="004A054A" w:rsidRPr="00582A24" w:rsidRDefault="004A054A" w:rsidP="00582A24">
            <w:pPr>
              <w:autoSpaceDE w:val="0"/>
              <w:autoSpaceDN w:val="0"/>
              <w:adjustRightInd w:val="0"/>
              <w:spacing w:line="298" w:lineRule="atLeast"/>
              <w:rPr>
                <w:rFonts w:ascii="Palatino Linotype" w:hAnsi="Palatino Linotype" w:cs="Palatino Linotype"/>
                <w:color w:val="000000"/>
              </w:rPr>
            </w:pPr>
            <w:r w:rsidRPr="001E15C9">
              <w:rPr>
                <w:rFonts w:ascii="Palatino Linotype" w:hAnsi="Palatino Linotype" w:cs="Palatino Linotype"/>
                <w:color w:val="000000"/>
              </w:rPr>
              <w:t>4.</w:t>
            </w:r>
            <w:r>
              <w:rPr>
                <w:rFonts w:ascii="Palatino Linotype" w:hAnsi="Palatino Linotype" w:cs="Palatino Linotype"/>
                <w:color w:val="000000"/>
              </w:rPr>
              <w:t>2</w:t>
            </w:r>
            <w:r w:rsidRPr="001E15C9">
              <w:rPr>
                <w:rFonts w:ascii="Palatino Linotype" w:hAnsi="Palatino Linotype" w:cs="Palatino Linotype"/>
                <w:color w:val="000000"/>
              </w:rPr>
              <w:t>. Examine, evaluate</w:t>
            </w:r>
            <w:r w:rsidR="007F673C">
              <w:rPr>
                <w:rFonts w:ascii="Palatino Linotype" w:hAnsi="Palatino Linotype" w:cs="Palatino Linotype"/>
                <w:color w:val="000000"/>
              </w:rPr>
              <w:t>,</w:t>
            </w:r>
            <w:r w:rsidRPr="001E15C9">
              <w:rPr>
                <w:rFonts w:ascii="Palatino Linotype" w:hAnsi="Palatino Linotype" w:cs="Palatino Linotype"/>
                <w:color w:val="000000"/>
              </w:rPr>
              <w:t xml:space="preserve"> and articulate how awareness of diversity informs pedagogy, selection of curricula, and professional development practices. </w:t>
            </w:r>
          </w:p>
        </w:tc>
        <w:tc>
          <w:tcPr>
            <w:tcW w:w="1260" w:type="dxa"/>
          </w:tcPr>
          <w:p w14:paraId="5F3D31C4"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49AB24D6"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1572D59B" w14:textId="77777777" w:rsidTr="004A054A">
        <w:trPr>
          <w:trHeight w:val="140"/>
          <w:jc w:val="center"/>
        </w:trPr>
        <w:tc>
          <w:tcPr>
            <w:tcW w:w="5490" w:type="dxa"/>
          </w:tcPr>
          <w:p w14:paraId="01D11798" w14:textId="469DF9C5" w:rsidR="004A054A" w:rsidRPr="00295DC7" w:rsidRDefault="004A054A" w:rsidP="00295DC7">
            <w:pPr>
              <w:autoSpaceDE w:val="0"/>
              <w:autoSpaceDN w:val="0"/>
              <w:adjustRightInd w:val="0"/>
              <w:spacing w:line="298" w:lineRule="atLeast"/>
              <w:ind w:right="672"/>
              <w:rPr>
                <w:rFonts w:ascii="Palatino Linotype" w:hAnsi="Palatino Linotype" w:cs="Palatino Linotype"/>
                <w:color w:val="000000"/>
              </w:rPr>
            </w:pPr>
            <w:r w:rsidRPr="001E15C9">
              <w:rPr>
                <w:rFonts w:ascii="Palatino Linotype" w:hAnsi="Palatino Linotype" w:cs="Palatino Linotype"/>
                <w:color w:val="000000"/>
              </w:rPr>
              <w:t>4.</w:t>
            </w:r>
            <w:r>
              <w:rPr>
                <w:rFonts w:ascii="Palatino Linotype" w:hAnsi="Palatino Linotype" w:cs="Palatino Linotype"/>
                <w:color w:val="000000"/>
              </w:rPr>
              <w:t>3</w:t>
            </w:r>
            <w:r w:rsidRPr="001E15C9">
              <w:rPr>
                <w:rFonts w:ascii="Palatino Linotype" w:hAnsi="Palatino Linotype" w:cs="Palatino Linotype"/>
                <w:color w:val="000000"/>
              </w:rPr>
              <w:t xml:space="preserve">. Support the development of reading and writing instruction that is responsive to a diverse student population. </w:t>
            </w:r>
          </w:p>
        </w:tc>
        <w:tc>
          <w:tcPr>
            <w:tcW w:w="1260" w:type="dxa"/>
          </w:tcPr>
          <w:p w14:paraId="4D82DB9D"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302FF51F"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261B4E08" w14:textId="77777777" w:rsidTr="004A054A">
        <w:trPr>
          <w:trHeight w:val="140"/>
          <w:jc w:val="center"/>
        </w:trPr>
        <w:tc>
          <w:tcPr>
            <w:tcW w:w="5490" w:type="dxa"/>
          </w:tcPr>
          <w:p w14:paraId="4B670235" w14:textId="44CB0FEA" w:rsidR="004A054A" w:rsidRPr="001345FB" w:rsidRDefault="004A054A" w:rsidP="001345FB">
            <w:pPr>
              <w:autoSpaceDE w:val="0"/>
              <w:autoSpaceDN w:val="0"/>
              <w:adjustRightInd w:val="0"/>
              <w:spacing w:line="298" w:lineRule="atLeast"/>
              <w:ind w:right="152"/>
              <w:rPr>
                <w:rFonts w:ascii="Palatino Linotype" w:hAnsi="Palatino Linotype" w:cs="Palatino Linotype"/>
                <w:color w:val="000000"/>
              </w:rPr>
            </w:pPr>
            <w:r w:rsidRPr="001E15C9">
              <w:rPr>
                <w:rFonts w:ascii="Palatino Linotype" w:hAnsi="Palatino Linotype" w:cs="Palatino Linotype"/>
                <w:color w:val="000000"/>
              </w:rPr>
              <w:t>4.</w:t>
            </w:r>
            <w:r>
              <w:rPr>
                <w:rFonts w:ascii="Palatino Linotype" w:hAnsi="Palatino Linotype" w:cs="Palatino Linotype"/>
                <w:color w:val="000000"/>
              </w:rPr>
              <w:t>4</w:t>
            </w:r>
            <w:r w:rsidRPr="001E15C9">
              <w:rPr>
                <w:rFonts w:ascii="Palatino Linotype" w:hAnsi="Palatino Linotype" w:cs="Palatino Linotype"/>
                <w:color w:val="000000"/>
              </w:rPr>
              <w:t xml:space="preserve">. Understand and support the process of second language acquisition, the </w:t>
            </w:r>
            <w:r w:rsidR="00017822" w:rsidRPr="001E15C9">
              <w:rPr>
                <w:rFonts w:ascii="Palatino Linotype" w:hAnsi="Palatino Linotype" w:cs="Palatino Linotype"/>
                <w:color w:val="000000"/>
              </w:rPr>
              <w:t>benefits,</w:t>
            </w:r>
            <w:r w:rsidRPr="001E15C9">
              <w:rPr>
                <w:rFonts w:ascii="Palatino Linotype" w:hAnsi="Palatino Linotype" w:cs="Palatino Linotype"/>
                <w:color w:val="000000"/>
              </w:rPr>
              <w:t xml:space="preserve"> and challenges </w:t>
            </w:r>
            <w:r w:rsidRPr="001E15C9">
              <w:rPr>
                <w:rFonts w:ascii="Palatino Linotype" w:hAnsi="Palatino Linotype" w:cs="Palatino Linotype"/>
                <w:color w:val="000000"/>
              </w:rPr>
              <w:lastRenderedPageBreak/>
              <w:t xml:space="preserve">second language acquisition poses to students’ reading and writing development, and distinctions between language learning issues and learning disabilities. </w:t>
            </w:r>
          </w:p>
        </w:tc>
        <w:tc>
          <w:tcPr>
            <w:tcW w:w="1260" w:type="dxa"/>
          </w:tcPr>
          <w:p w14:paraId="49CC853E"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46207B22"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58C7AD1" w14:textId="77777777" w:rsidTr="004A054A">
        <w:trPr>
          <w:trHeight w:val="140"/>
          <w:jc w:val="center"/>
        </w:trPr>
        <w:tc>
          <w:tcPr>
            <w:tcW w:w="5490" w:type="dxa"/>
          </w:tcPr>
          <w:p w14:paraId="254E9372" w14:textId="1E371545" w:rsidR="004A054A" w:rsidRPr="00BA333B" w:rsidRDefault="004A054A" w:rsidP="00BA333B">
            <w:pPr>
              <w:rPr>
                <w:rFonts w:ascii="Palatino Linotype" w:hAnsi="Palatino Linotype" w:cs="Palatino Linotype"/>
                <w:color w:val="000000"/>
              </w:rPr>
            </w:pPr>
            <w:r w:rsidRPr="00BA333B">
              <w:rPr>
                <w:rFonts w:ascii="Palatino Linotype" w:hAnsi="Palatino Linotype" w:cs="Palatino Linotype"/>
                <w:color w:val="000000"/>
              </w:rPr>
              <w:t>4.</w:t>
            </w:r>
            <w:r>
              <w:rPr>
                <w:rFonts w:ascii="Palatino Linotype" w:hAnsi="Palatino Linotype" w:cs="Palatino Linotype"/>
                <w:color w:val="000000"/>
              </w:rPr>
              <w:t>5</w:t>
            </w:r>
            <w:r w:rsidRPr="00BA333B">
              <w:rPr>
                <w:rFonts w:ascii="Palatino Linotype" w:hAnsi="Palatino Linotype" w:cs="Palatino Linotype"/>
                <w:color w:val="000000"/>
              </w:rPr>
              <w:t>. Examine, evaluate, and articulate how instructional programs, curriculum materials, and assessment practices impact the literacy outcomes of diverse students.</w:t>
            </w:r>
          </w:p>
        </w:tc>
        <w:tc>
          <w:tcPr>
            <w:tcW w:w="1260" w:type="dxa"/>
          </w:tcPr>
          <w:p w14:paraId="527B4F5C"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5FA0592E"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0DDEE4A6" w14:textId="77777777" w:rsidTr="004A054A">
        <w:trPr>
          <w:trHeight w:val="140"/>
          <w:jc w:val="center"/>
        </w:trPr>
        <w:tc>
          <w:tcPr>
            <w:tcW w:w="10615" w:type="dxa"/>
            <w:gridSpan w:val="3"/>
            <w:shd w:val="clear" w:color="auto" w:fill="D0CECE" w:themeFill="background2" w:themeFillShade="E6"/>
          </w:tcPr>
          <w:p w14:paraId="7F37770B" w14:textId="47D9C199" w:rsidR="004A054A" w:rsidRPr="00226D95" w:rsidRDefault="004A054A" w:rsidP="00872718">
            <w:pPr>
              <w:spacing w:line="240" w:lineRule="auto"/>
              <w:rPr>
                <w:rFonts w:ascii="Palatino Linotype" w:eastAsia="Palatino Linotype" w:hAnsi="Palatino Linotype" w:cs="Palatino Linotype"/>
                <w:b/>
              </w:rPr>
            </w:pPr>
            <w:r>
              <w:rPr>
                <w:rFonts w:ascii="Palatino Linotype" w:eastAsiaTheme="minorHAnsi" w:hAnsi="Palatino Linotype" w:cs="Palatino Linotype"/>
                <w:color w:val="000000"/>
                <w:sz w:val="24"/>
                <w:szCs w:val="24"/>
                <w:lang w:val="en-US"/>
              </w:rPr>
              <w:t xml:space="preserve">5. </w:t>
            </w:r>
            <w:r w:rsidRPr="00411693">
              <w:rPr>
                <w:rFonts w:ascii="Palatino Linotype" w:eastAsiaTheme="minorHAnsi" w:hAnsi="Palatino Linotype" w:cs="Palatino Linotype"/>
                <w:b/>
                <w:bCs/>
                <w:color w:val="000000"/>
                <w:lang w:val="en-US"/>
              </w:rPr>
              <w:t xml:space="preserve">Literate Environment </w:t>
            </w:r>
            <w:r w:rsidRPr="00411693">
              <w:rPr>
                <w:rFonts w:ascii="Palatino Linotype" w:eastAsiaTheme="minorHAnsi" w:hAnsi="Palatino Linotype" w:cs="Palatino Linotype"/>
                <w:color w:val="000000"/>
                <w:lang w:val="en-US"/>
              </w:rPr>
              <w:t xml:space="preserve">Specialized Literacy Professionals create a literate environment that fosters reading and writing by integrating foundational knowledge, instructional practices, approaches and methods, curriculum materials, and the appropriate use of assessments to meet the developmental needs of all learners </w:t>
            </w:r>
          </w:p>
        </w:tc>
      </w:tr>
      <w:tr w:rsidR="004A054A" w:rsidRPr="00226D95" w14:paraId="5D863A89" w14:textId="77777777" w:rsidTr="004A054A">
        <w:trPr>
          <w:trHeight w:val="140"/>
          <w:jc w:val="center"/>
        </w:trPr>
        <w:tc>
          <w:tcPr>
            <w:tcW w:w="5490" w:type="dxa"/>
          </w:tcPr>
          <w:p w14:paraId="2730403D" w14:textId="7CB118B0" w:rsidR="004A054A" w:rsidRPr="001A144E" w:rsidRDefault="004A054A" w:rsidP="001A144E">
            <w:pPr>
              <w:autoSpaceDE w:val="0"/>
              <w:autoSpaceDN w:val="0"/>
              <w:adjustRightInd w:val="0"/>
              <w:spacing w:line="298" w:lineRule="atLeast"/>
              <w:ind w:right="127"/>
              <w:rPr>
                <w:rFonts w:ascii="Palatino Linotype" w:hAnsi="Palatino Linotype" w:cs="Palatino Linotype"/>
                <w:color w:val="000000"/>
              </w:rPr>
            </w:pPr>
            <w:r w:rsidRPr="001E15C9">
              <w:rPr>
                <w:rFonts w:ascii="Palatino Linotype" w:hAnsi="Palatino Linotype" w:cs="Palatino Linotype"/>
                <w:color w:val="000000"/>
              </w:rPr>
              <w:t xml:space="preserve">5.1. Design the physical environment to optimize students' use of print, digital, and online resources with variety in text types, genres, and reading and writing instruction. </w:t>
            </w:r>
          </w:p>
        </w:tc>
        <w:tc>
          <w:tcPr>
            <w:tcW w:w="1260" w:type="dxa"/>
          </w:tcPr>
          <w:p w14:paraId="011D3636"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58B5651F"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2F34275C" w14:textId="77777777" w:rsidTr="004A054A">
        <w:trPr>
          <w:trHeight w:val="140"/>
          <w:jc w:val="center"/>
        </w:trPr>
        <w:tc>
          <w:tcPr>
            <w:tcW w:w="5490" w:type="dxa"/>
          </w:tcPr>
          <w:p w14:paraId="63341655" w14:textId="737FD5DC" w:rsidR="004A054A" w:rsidRPr="00012F9C" w:rsidRDefault="004A054A" w:rsidP="00012F9C">
            <w:pPr>
              <w:autoSpaceDE w:val="0"/>
              <w:autoSpaceDN w:val="0"/>
              <w:adjustRightInd w:val="0"/>
              <w:spacing w:line="298" w:lineRule="atLeast"/>
              <w:rPr>
                <w:rFonts w:ascii="Palatino Linotype" w:hAnsi="Palatino Linotype" w:cs="Palatino Linotype"/>
                <w:color w:val="000000"/>
              </w:rPr>
            </w:pPr>
            <w:r w:rsidRPr="001E15C9">
              <w:rPr>
                <w:rFonts w:ascii="Palatino Linotype" w:hAnsi="Palatino Linotype" w:cs="Palatino Linotype"/>
                <w:color w:val="000000"/>
              </w:rPr>
              <w:t>5.</w:t>
            </w:r>
            <w:r>
              <w:rPr>
                <w:rFonts w:ascii="Palatino Linotype" w:hAnsi="Palatino Linotype" w:cs="Palatino Linotype"/>
                <w:color w:val="000000"/>
              </w:rPr>
              <w:t>2</w:t>
            </w:r>
            <w:r w:rsidRPr="001E15C9">
              <w:rPr>
                <w:rFonts w:ascii="Palatino Linotype" w:hAnsi="Palatino Linotype" w:cs="Palatino Linotype"/>
                <w:color w:val="000000"/>
              </w:rPr>
              <w:t xml:space="preserve">. Identify and promote curricula considering technology as both a tool and topic of literacy instruction. </w:t>
            </w:r>
          </w:p>
        </w:tc>
        <w:tc>
          <w:tcPr>
            <w:tcW w:w="1260" w:type="dxa"/>
          </w:tcPr>
          <w:p w14:paraId="6049A50D"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044DCC54"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2A127315" w14:textId="77777777" w:rsidTr="004A054A">
        <w:trPr>
          <w:trHeight w:val="140"/>
          <w:jc w:val="center"/>
        </w:trPr>
        <w:tc>
          <w:tcPr>
            <w:tcW w:w="5490" w:type="dxa"/>
          </w:tcPr>
          <w:p w14:paraId="37A24D03" w14:textId="37DBDD69" w:rsidR="004A054A" w:rsidRPr="00C4453D" w:rsidRDefault="004A054A" w:rsidP="00C4453D">
            <w:pPr>
              <w:autoSpaceDE w:val="0"/>
              <w:autoSpaceDN w:val="0"/>
              <w:adjustRightInd w:val="0"/>
              <w:spacing w:line="298" w:lineRule="atLeast"/>
              <w:rPr>
                <w:rFonts w:ascii="Palatino Linotype" w:hAnsi="Palatino Linotype" w:cs="Palatino Linotype"/>
                <w:color w:val="000000"/>
              </w:rPr>
            </w:pPr>
            <w:r w:rsidRPr="001E15C9">
              <w:rPr>
                <w:rFonts w:ascii="Palatino Linotype" w:hAnsi="Palatino Linotype" w:cs="Palatino Linotype"/>
                <w:color w:val="000000"/>
              </w:rPr>
              <w:t xml:space="preserve">5.3. Create supportive environments where English learners are encouraged and given many opportunities to use English while continuing to support students in using and maintaining their </w:t>
            </w:r>
            <w:r>
              <w:rPr>
                <w:rFonts w:ascii="Palatino Linotype" w:hAnsi="Palatino Linotype" w:cs="Palatino Linotype"/>
                <w:color w:val="000000"/>
              </w:rPr>
              <w:t>primary language</w:t>
            </w:r>
            <w:r w:rsidRPr="001E15C9">
              <w:rPr>
                <w:rFonts w:ascii="Palatino Linotype" w:hAnsi="Palatino Linotype" w:cs="Palatino Linotype"/>
                <w:color w:val="000000"/>
              </w:rPr>
              <w:t xml:space="preserve">. </w:t>
            </w:r>
          </w:p>
        </w:tc>
        <w:tc>
          <w:tcPr>
            <w:tcW w:w="1260" w:type="dxa"/>
          </w:tcPr>
          <w:p w14:paraId="68713DD6"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5B5E297C"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4308D045" w14:textId="77777777" w:rsidTr="0048130D">
        <w:trPr>
          <w:trHeight w:val="140"/>
          <w:jc w:val="center"/>
        </w:trPr>
        <w:tc>
          <w:tcPr>
            <w:tcW w:w="10615" w:type="dxa"/>
            <w:gridSpan w:val="3"/>
            <w:shd w:val="clear" w:color="auto" w:fill="D9D9D9" w:themeFill="background1" w:themeFillShade="D9"/>
          </w:tcPr>
          <w:p w14:paraId="78F986FF" w14:textId="43E53375" w:rsidR="004A054A" w:rsidRPr="00136867" w:rsidRDefault="004A054A" w:rsidP="00872718">
            <w:pPr>
              <w:spacing w:line="240" w:lineRule="auto"/>
              <w:rPr>
                <w:rFonts w:ascii="Palatino Linotype" w:eastAsiaTheme="minorHAnsi" w:hAnsi="Palatino Linotype" w:cs="Palatino Linotype"/>
                <w:b/>
                <w:bCs/>
                <w:color w:val="000000"/>
                <w:lang w:val="en-US"/>
              </w:rPr>
            </w:pPr>
            <w:r w:rsidRPr="00136867">
              <w:rPr>
                <w:rFonts w:ascii="Palatino Linotype" w:eastAsiaTheme="minorHAnsi" w:hAnsi="Palatino Linotype" w:cs="Palatino Linotype"/>
                <w:b/>
                <w:bCs/>
                <w:color w:val="000000"/>
                <w:lang w:val="en-US"/>
              </w:rPr>
              <w:t xml:space="preserve">6. </w:t>
            </w:r>
            <w:r w:rsidRPr="009C3D6D">
              <w:rPr>
                <w:rFonts w:ascii="Palatino Linotype" w:eastAsiaTheme="minorHAnsi" w:hAnsi="Palatino Linotype" w:cs="Palatino Linotype"/>
                <w:b/>
                <w:bCs/>
                <w:color w:val="000000"/>
                <w:lang w:val="en-US"/>
              </w:rPr>
              <w:t xml:space="preserve">Professional Learning and Leadership </w:t>
            </w:r>
            <w:r w:rsidRPr="00C64686">
              <w:rPr>
                <w:rFonts w:ascii="Palatino Linotype" w:eastAsiaTheme="minorHAnsi" w:hAnsi="Palatino Linotype" w:cs="Palatino Linotype"/>
                <w:color w:val="000000"/>
                <w:lang w:val="en-US"/>
              </w:rPr>
              <w:t>Specialized Literacy Professionals recognize the importance of professional learning and lead investment in professional learning as a career-long effort and responsibility.</w:t>
            </w:r>
            <w:r w:rsidRPr="00136867">
              <w:rPr>
                <w:rFonts w:ascii="Palatino Linotype" w:eastAsiaTheme="minorHAnsi" w:hAnsi="Palatino Linotype" w:cs="Palatino Linotype"/>
                <w:b/>
                <w:bCs/>
                <w:color w:val="000000"/>
                <w:lang w:val="en-US"/>
              </w:rPr>
              <w:t xml:space="preserve"> </w:t>
            </w:r>
          </w:p>
        </w:tc>
      </w:tr>
      <w:tr w:rsidR="004A054A" w:rsidRPr="00226D95" w14:paraId="11D6B680" w14:textId="77777777" w:rsidTr="004A054A">
        <w:trPr>
          <w:trHeight w:val="140"/>
          <w:jc w:val="center"/>
        </w:trPr>
        <w:tc>
          <w:tcPr>
            <w:tcW w:w="5490" w:type="dxa"/>
          </w:tcPr>
          <w:p w14:paraId="407CD848" w14:textId="5B2D8E61" w:rsidR="004A054A" w:rsidRPr="00AF0B26" w:rsidRDefault="004A054A" w:rsidP="00AF0B26">
            <w:pPr>
              <w:autoSpaceDE w:val="0"/>
              <w:autoSpaceDN w:val="0"/>
              <w:adjustRightInd w:val="0"/>
              <w:spacing w:line="296" w:lineRule="atLeast"/>
              <w:ind w:right="462"/>
              <w:rPr>
                <w:rFonts w:ascii="Palatino Linotype" w:hAnsi="Palatino Linotype" w:cs="Palatino Linotype"/>
                <w:color w:val="000000"/>
              </w:rPr>
            </w:pPr>
            <w:r w:rsidRPr="001E15C9">
              <w:rPr>
                <w:rFonts w:ascii="Palatino Linotype" w:hAnsi="Palatino Linotype" w:cs="Palatino Linotype"/>
                <w:color w:val="000000"/>
              </w:rPr>
              <w:t>6.</w:t>
            </w:r>
            <w:r>
              <w:rPr>
                <w:rFonts w:ascii="Palatino Linotype" w:hAnsi="Palatino Linotype" w:cs="Palatino Linotype"/>
                <w:color w:val="000000"/>
              </w:rPr>
              <w:t>1</w:t>
            </w:r>
            <w:r w:rsidRPr="001E15C9">
              <w:rPr>
                <w:rFonts w:ascii="Palatino Linotype" w:hAnsi="Palatino Linotype" w:cs="Palatino Linotype"/>
                <w:color w:val="000000"/>
              </w:rPr>
              <w:t xml:space="preserve">. Understand how to interpret, analyze, and apply research findings to instructional practice. </w:t>
            </w:r>
          </w:p>
        </w:tc>
        <w:tc>
          <w:tcPr>
            <w:tcW w:w="1260" w:type="dxa"/>
          </w:tcPr>
          <w:p w14:paraId="108216D4"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69B2803B"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01ABD23C" w14:textId="77777777" w:rsidTr="004A054A">
        <w:trPr>
          <w:trHeight w:val="140"/>
          <w:jc w:val="center"/>
        </w:trPr>
        <w:tc>
          <w:tcPr>
            <w:tcW w:w="5490" w:type="dxa"/>
          </w:tcPr>
          <w:p w14:paraId="51C2ED8E" w14:textId="2C2214EC" w:rsidR="004A054A" w:rsidRPr="00BD160D" w:rsidRDefault="004A054A" w:rsidP="00BD160D">
            <w:pPr>
              <w:autoSpaceDE w:val="0"/>
              <w:autoSpaceDN w:val="0"/>
              <w:adjustRightInd w:val="0"/>
              <w:spacing w:line="298" w:lineRule="atLeast"/>
              <w:rPr>
                <w:rFonts w:ascii="Palatino Linotype" w:hAnsi="Palatino Linotype" w:cs="Palatino Linotype"/>
                <w:color w:val="000000"/>
              </w:rPr>
            </w:pPr>
            <w:r w:rsidRPr="001E15C9">
              <w:rPr>
                <w:rFonts w:ascii="Palatino Linotype" w:hAnsi="Palatino Linotype" w:cs="Palatino Linotype"/>
                <w:color w:val="000000"/>
              </w:rPr>
              <w:t>6.</w:t>
            </w:r>
            <w:r>
              <w:rPr>
                <w:rFonts w:ascii="Palatino Linotype" w:hAnsi="Palatino Linotype" w:cs="Palatino Linotype"/>
                <w:color w:val="000000"/>
              </w:rPr>
              <w:t>2</w:t>
            </w:r>
            <w:r w:rsidRPr="001E15C9">
              <w:rPr>
                <w:rFonts w:ascii="Palatino Linotype" w:hAnsi="Palatino Linotype" w:cs="Palatino Linotype"/>
                <w:color w:val="000000"/>
              </w:rPr>
              <w:t>. Understand and implement effective coaching</w:t>
            </w:r>
            <w:r w:rsidR="00011C7D">
              <w:rPr>
                <w:rFonts w:ascii="Palatino Linotype" w:hAnsi="Palatino Linotype" w:cs="Palatino Linotype"/>
                <w:color w:val="000000"/>
              </w:rPr>
              <w:t>.</w:t>
            </w:r>
            <w:r w:rsidRPr="001E15C9">
              <w:rPr>
                <w:rFonts w:ascii="Palatino Linotype" w:hAnsi="Palatino Linotype" w:cs="Palatino Linotype"/>
                <w:color w:val="000000"/>
              </w:rPr>
              <w:t xml:space="preserve"> </w:t>
            </w:r>
          </w:p>
        </w:tc>
        <w:tc>
          <w:tcPr>
            <w:tcW w:w="1260" w:type="dxa"/>
          </w:tcPr>
          <w:p w14:paraId="3E20545A"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7950CC85"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6925BCEF" w14:textId="77777777" w:rsidTr="004A054A">
        <w:trPr>
          <w:trHeight w:val="140"/>
          <w:jc w:val="center"/>
        </w:trPr>
        <w:tc>
          <w:tcPr>
            <w:tcW w:w="5490" w:type="dxa"/>
          </w:tcPr>
          <w:p w14:paraId="3CD54F71" w14:textId="7BD13AD6" w:rsidR="004A054A" w:rsidRPr="00F76C3F" w:rsidRDefault="004A054A" w:rsidP="00F76C3F">
            <w:pPr>
              <w:autoSpaceDE w:val="0"/>
              <w:autoSpaceDN w:val="0"/>
              <w:adjustRightInd w:val="0"/>
              <w:spacing w:line="296" w:lineRule="atLeast"/>
              <w:ind w:right="770"/>
              <w:rPr>
                <w:rFonts w:ascii="Palatino Linotype" w:hAnsi="Palatino Linotype" w:cs="Palatino Linotype"/>
                <w:color w:val="000000"/>
              </w:rPr>
            </w:pPr>
            <w:r w:rsidRPr="001E15C9">
              <w:rPr>
                <w:rFonts w:ascii="Palatino Linotype" w:hAnsi="Palatino Linotype" w:cs="Palatino Linotype"/>
                <w:color w:val="000000"/>
              </w:rPr>
              <w:t>6.</w:t>
            </w:r>
            <w:r>
              <w:rPr>
                <w:rFonts w:ascii="Palatino Linotype" w:hAnsi="Palatino Linotype" w:cs="Palatino Linotype"/>
                <w:color w:val="000000"/>
              </w:rPr>
              <w:t>3</w:t>
            </w:r>
            <w:r w:rsidRPr="001E15C9">
              <w:rPr>
                <w:rFonts w:ascii="Palatino Linotype" w:hAnsi="Palatino Linotype" w:cs="Palatino Linotype"/>
                <w:color w:val="000000"/>
              </w:rPr>
              <w:t>. Use the research base to assist in</w:t>
            </w:r>
            <w:r>
              <w:rPr>
                <w:rFonts w:ascii="Palatino Linotype" w:hAnsi="Palatino Linotype" w:cs="Palatino Linotype"/>
                <w:color w:val="000000"/>
              </w:rPr>
              <w:t xml:space="preserve"> </w:t>
            </w:r>
            <w:r w:rsidRPr="001E15C9">
              <w:rPr>
                <w:rFonts w:ascii="Palatino Linotype" w:hAnsi="Palatino Linotype" w:cs="Palatino Linotype"/>
                <w:color w:val="000000"/>
              </w:rPr>
              <w:t xml:space="preserve">building an effective professional development program. </w:t>
            </w:r>
          </w:p>
        </w:tc>
        <w:tc>
          <w:tcPr>
            <w:tcW w:w="1260" w:type="dxa"/>
          </w:tcPr>
          <w:p w14:paraId="5E556662"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0D45B09F"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7AAD11B6" w14:textId="77777777" w:rsidTr="004A054A">
        <w:trPr>
          <w:trHeight w:val="140"/>
          <w:jc w:val="center"/>
        </w:trPr>
        <w:tc>
          <w:tcPr>
            <w:tcW w:w="5490" w:type="dxa"/>
          </w:tcPr>
          <w:p w14:paraId="6973DA33" w14:textId="4BA69E88" w:rsidR="004A054A" w:rsidRPr="00A44520" w:rsidRDefault="004A054A" w:rsidP="00A44520">
            <w:pPr>
              <w:autoSpaceDE w:val="0"/>
              <w:autoSpaceDN w:val="0"/>
              <w:adjustRightInd w:val="0"/>
              <w:spacing w:line="298" w:lineRule="atLeast"/>
              <w:ind w:right="390"/>
              <w:rPr>
                <w:rFonts w:ascii="Palatino Linotype" w:hAnsi="Palatino Linotype" w:cs="Palatino Linotype"/>
                <w:color w:val="000000"/>
              </w:rPr>
            </w:pPr>
            <w:r w:rsidRPr="001E15C9">
              <w:rPr>
                <w:rFonts w:ascii="Palatino Linotype" w:hAnsi="Palatino Linotype" w:cs="Palatino Linotype"/>
                <w:color w:val="000000"/>
              </w:rPr>
              <w:t>6.</w:t>
            </w:r>
            <w:r w:rsidR="009442E0">
              <w:rPr>
                <w:rFonts w:ascii="Palatino Linotype" w:hAnsi="Palatino Linotype" w:cs="Palatino Linotype"/>
                <w:color w:val="000000"/>
              </w:rPr>
              <w:t>4</w:t>
            </w:r>
            <w:r w:rsidRPr="001E15C9">
              <w:rPr>
                <w:rFonts w:ascii="Palatino Linotype" w:hAnsi="Palatino Linotype" w:cs="Palatino Linotype"/>
                <w:color w:val="000000"/>
              </w:rPr>
              <w:t xml:space="preserve">. Encourage and support teachers and reading professionals to develop their knowledge, skills, and dispositions. </w:t>
            </w:r>
          </w:p>
        </w:tc>
        <w:tc>
          <w:tcPr>
            <w:tcW w:w="1260" w:type="dxa"/>
          </w:tcPr>
          <w:p w14:paraId="1C86BFE1"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787BE883"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4F476E7" w14:textId="77777777" w:rsidTr="004A054A">
        <w:trPr>
          <w:trHeight w:val="140"/>
          <w:jc w:val="center"/>
        </w:trPr>
        <w:tc>
          <w:tcPr>
            <w:tcW w:w="5490" w:type="dxa"/>
          </w:tcPr>
          <w:p w14:paraId="45AD8CB1" w14:textId="38FE17F0" w:rsidR="004A054A" w:rsidRPr="00A64245" w:rsidRDefault="004A054A" w:rsidP="00A64245">
            <w:pPr>
              <w:autoSpaceDE w:val="0"/>
              <w:autoSpaceDN w:val="0"/>
              <w:adjustRightInd w:val="0"/>
              <w:spacing w:line="296" w:lineRule="atLeast"/>
              <w:ind w:right="462"/>
              <w:rPr>
                <w:rFonts w:ascii="Palatino Linotype" w:hAnsi="Palatino Linotype" w:cs="Palatino Linotype"/>
                <w:color w:val="000000"/>
              </w:rPr>
            </w:pPr>
            <w:r w:rsidRPr="001E15C9">
              <w:rPr>
                <w:rFonts w:ascii="Palatino Linotype" w:hAnsi="Palatino Linotype" w:cs="Palatino Linotype"/>
                <w:color w:val="000000"/>
              </w:rPr>
              <w:t>6.</w:t>
            </w:r>
            <w:r w:rsidR="00ED3670">
              <w:rPr>
                <w:rFonts w:ascii="Palatino Linotype" w:hAnsi="Palatino Linotype" w:cs="Palatino Linotype"/>
                <w:color w:val="000000"/>
              </w:rPr>
              <w:t>5</w:t>
            </w:r>
            <w:r w:rsidRPr="001E15C9">
              <w:rPr>
                <w:rFonts w:ascii="Palatino Linotype" w:hAnsi="Palatino Linotype" w:cs="Palatino Linotype"/>
                <w:color w:val="000000"/>
              </w:rPr>
              <w:t xml:space="preserve">. Facilitate the critical use of technology among teachers and other personnel for their </w:t>
            </w:r>
            <w:r w:rsidRPr="001E15C9">
              <w:rPr>
                <w:rFonts w:ascii="Palatino Linotype" w:hAnsi="Palatino Linotype" w:cs="Palatino Linotype"/>
                <w:color w:val="000000"/>
              </w:rPr>
              <w:lastRenderedPageBreak/>
              <w:t xml:space="preserve">own learning and for improving student learning. </w:t>
            </w:r>
          </w:p>
        </w:tc>
        <w:tc>
          <w:tcPr>
            <w:tcW w:w="1260" w:type="dxa"/>
          </w:tcPr>
          <w:p w14:paraId="2DFB4642"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1BC3114B"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0CE12E62" w14:textId="77777777" w:rsidTr="004A054A">
        <w:trPr>
          <w:trHeight w:val="140"/>
          <w:jc w:val="center"/>
        </w:trPr>
        <w:tc>
          <w:tcPr>
            <w:tcW w:w="5490" w:type="dxa"/>
          </w:tcPr>
          <w:p w14:paraId="535DA6E3" w14:textId="1FA2F39A" w:rsidR="004A054A" w:rsidRPr="0060446F" w:rsidRDefault="004A054A" w:rsidP="00B543AA">
            <w:pPr>
              <w:autoSpaceDE w:val="0"/>
              <w:autoSpaceDN w:val="0"/>
              <w:adjustRightInd w:val="0"/>
              <w:spacing w:line="240" w:lineRule="auto"/>
              <w:rPr>
                <w:rFonts w:ascii="Palatino Linotype" w:eastAsiaTheme="minorHAnsi" w:hAnsi="Palatino Linotype" w:cs="Palatino Linotype"/>
                <w:color w:val="000000"/>
                <w:lang w:val="en-US"/>
              </w:rPr>
            </w:pPr>
            <w:r w:rsidRPr="0060446F">
              <w:rPr>
                <w:rFonts w:ascii="Palatino Linotype" w:eastAsiaTheme="minorHAnsi" w:hAnsi="Palatino Linotype" w:cs="Palatino Linotype"/>
                <w:color w:val="000000"/>
                <w:sz w:val="24"/>
                <w:szCs w:val="24"/>
                <w:lang w:val="en-US"/>
              </w:rPr>
              <w:t>6.</w:t>
            </w:r>
            <w:r w:rsidR="00ED3670">
              <w:rPr>
                <w:rFonts w:ascii="Palatino Linotype" w:eastAsiaTheme="minorHAnsi" w:hAnsi="Palatino Linotype" w:cs="Palatino Linotype"/>
                <w:color w:val="000000"/>
                <w:sz w:val="24"/>
                <w:szCs w:val="24"/>
                <w:lang w:val="en-US"/>
              </w:rPr>
              <w:t>6</w:t>
            </w:r>
            <w:r w:rsidRPr="0060446F">
              <w:rPr>
                <w:rFonts w:ascii="Palatino Linotype" w:eastAsiaTheme="minorHAnsi" w:hAnsi="Palatino Linotype" w:cs="Palatino Linotype"/>
                <w:color w:val="000000"/>
                <w:sz w:val="24"/>
                <w:szCs w:val="24"/>
                <w:lang w:val="en-US"/>
              </w:rPr>
              <w:t xml:space="preserve">. </w:t>
            </w:r>
            <w:r w:rsidRPr="0060446F">
              <w:rPr>
                <w:rFonts w:ascii="Palatino Linotype" w:eastAsiaTheme="minorHAnsi" w:hAnsi="Palatino Linotype" w:cs="Palatino Linotype"/>
                <w:color w:val="000000"/>
                <w:lang w:val="en-US"/>
              </w:rPr>
              <w:t xml:space="preserve">Coordinate continuous improvement efforts in literacy, and design improvement strategies based on comprehensive literacy assessment data and evidence-based practices. </w:t>
            </w:r>
          </w:p>
        </w:tc>
        <w:tc>
          <w:tcPr>
            <w:tcW w:w="1260" w:type="dxa"/>
          </w:tcPr>
          <w:p w14:paraId="4AD83A51" w14:textId="77777777" w:rsidR="004A054A" w:rsidRPr="00226D95" w:rsidRDefault="004A054A" w:rsidP="00872718">
            <w:pPr>
              <w:keepNext/>
              <w:spacing w:line="240" w:lineRule="auto"/>
              <w:rPr>
                <w:rFonts w:ascii="Palatino Linotype" w:eastAsia="Palatino Linotype" w:hAnsi="Palatino Linotype" w:cs="Palatino Linotype"/>
                <w:b/>
              </w:rPr>
            </w:pPr>
          </w:p>
        </w:tc>
        <w:tc>
          <w:tcPr>
            <w:tcW w:w="3865" w:type="dxa"/>
          </w:tcPr>
          <w:p w14:paraId="644205D2" w14:textId="77777777" w:rsidR="004A054A" w:rsidRPr="00226D95" w:rsidRDefault="004A054A" w:rsidP="00872718">
            <w:pPr>
              <w:spacing w:line="240" w:lineRule="auto"/>
              <w:rPr>
                <w:rFonts w:ascii="Palatino Linotype" w:eastAsia="Palatino Linotype" w:hAnsi="Palatino Linotype" w:cs="Palatino Linotype"/>
                <w:b/>
              </w:rPr>
            </w:pPr>
          </w:p>
        </w:tc>
      </w:tr>
      <w:tr w:rsidR="004A054A" w:rsidRPr="00226D95" w14:paraId="37A256DF" w14:textId="77777777" w:rsidTr="00407FDC">
        <w:trPr>
          <w:trHeight w:val="359"/>
          <w:jc w:val="center"/>
        </w:trPr>
        <w:tc>
          <w:tcPr>
            <w:tcW w:w="10615" w:type="dxa"/>
            <w:gridSpan w:val="3"/>
            <w:shd w:val="clear" w:color="auto" w:fill="D0CECE" w:themeFill="background2" w:themeFillShade="E6"/>
          </w:tcPr>
          <w:p w14:paraId="410D55D3" w14:textId="7236C89C" w:rsidR="004A054A" w:rsidRPr="00D1457E" w:rsidRDefault="004A054A" w:rsidP="00D1457E">
            <w:pPr>
              <w:autoSpaceDE w:val="0"/>
              <w:autoSpaceDN w:val="0"/>
              <w:adjustRightInd w:val="0"/>
              <w:spacing w:line="240" w:lineRule="auto"/>
              <w:rPr>
                <w:rFonts w:ascii="Palatino Linotype" w:hAnsi="Palatino Linotype" w:cs="Palatino Linotype"/>
                <w:color w:val="000000"/>
              </w:rPr>
            </w:pPr>
            <w:r w:rsidRPr="00D1457E">
              <w:rPr>
                <w:rFonts w:ascii="Palatino Linotype" w:hAnsi="Palatino Linotype" w:cs="Palatino Linotype"/>
                <w:color w:val="000000"/>
              </w:rPr>
              <w:t xml:space="preserve">7. </w:t>
            </w:r>
            <w:r w:rsidRPr="001E15C9">
              <w:rPr>
                <w:rFonts w:ascii="Palatino Linotype" w:hAnsi="Palatino Linotype" w:cs="Palatino Linotype"/>
                <w:color w:val="000000"/>
              </w:rPr>
              <w:t xml:space="preserve">A master’s degree </w:t>
            </w:r>
          </w:p>
        </w:tc>
      </w:tr>
      <w:tr w:rsidR="004A054A" w:rsidRPr="00226D95" w14:paraId="2C523E54" w14:textId="77777777" w:rsidTr="00407FDC">
        <w:trPr>
          <w:trHeight w:val="350"/>
          <w:jc w:val="center"/>
        </w:trPr>
        <w:tc>
          <w:tcPr>
            <w:tcW w:w="10615" w:type="dxa"/>
            <w:gridSpan w:val="3"/>
            <w:shd w:val="clear" w:color="auto" w:fill="D0CECE" w:themeFill="background2" w:themeFillShade="E6"/>
          </w:tcPr>
          <w:p w14:paraId="21F76E61" w14:textId="1F645649" w:rsidR="004A054A" w:rsidRPr="00226D95" w:rsidRDefault="004A054A" w:rsidP="00872718">
            <w:pPr>
              <w:spacing w:line="240" w:lineRule="auto"/>
              <w:rPr>
                <w:rFonts w:ascii="Palatino Linotype" w:eastAsia="Palatino Linotype" w:hAnsi="Palatino Linotype" w:cs="Palatino Linotype"/>
                <w:b/>
              </w:rPr>
            </w:pPr>
            <w:r w:rsidRPr="001E15C9">
              <w:rPr>
                <w:rFonts w:ascii="Palatino Linotype" w:hAnsi="Palatino Linotype" w:cs="Palatino Linotype"/>
                <w:color w:val="000000"/>
              </w:rPr>
              <w:t xml:space="preserve">7.1. A minimum of 21 credits in reading/English language arts </w:t>
            </w:r>
          </w:p>
        </w:tc>
      </w:tr>
      <w:tr w:rsidR="004A054A" w:rsidRPr="00226D95" w14:paraId="5A1FE6EE" w14:textId="77777777" w:rsidTr="00407FDC">
        <w:trPr>
          <w:trHeight w:val="350"/>
          <w:jc w:val="center"/>
        </w:trPr>
        <w:tc>
          <w:tcPr>
            <w:tcW w:w="10615" w:type="dxa"/>
            <w:gridSpan w:val="3"/>
            <w:shd w:val="clear" w:color="auto" w:fill="D0CECE" w:themeFill="background2" w:themeFillShade="E6"/>
          </w:tcPr>
          <w:p w14:paraId="42ABF697" w14:textId="5F710D9A" w:rsidR="004A054A" w:rsidRPr="007E6304" w:rsidRDefault="004A054A" w:rsidP="007E6304">
            <w:pPr>
              <w:spacing w:line="240" w:lineRule="auto"/>
              <w:rPr>
                <w:rFonts w:ascii="Palatino Linotype" w:hAnsi="Palatino Linotype" w:cs="Palatino Linotype"/>
                <w:color w:val="000000"/>
              </w:rPr>
            </w:pPr>
            <w:r w:rsidRPr="007E6304">
              <w:rPr>
                <w:rFonts w:ascii="Palatino Linotype" w:eastAsiaTheme="minorHAnsi" w:hAnsi="Palatino Linotype" w:cs="Palatino Linotype"/>
                <w:color w:val="000000"/>
                <w:lang w:val="en-US"/>
              </w:rPr>
              <w:t>7.2. A minimum of a practicum, or the equivalent, in reading instruction and assessment</w:t>
            </w:r>
          </w:p>
        </w:tc>
      </w:tr>
    </w:tbl>
    <w:p w14:paraId="5731C362" w14:textId="77777777" w:rsidR="000E291C" w:rsidRDefault="00017822"/>
    <w:sectPr w:rsidR="000E291C" w:rsidSect="0034467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D56AD" w14:textId="77777777" w:rsidR="00FA7864" w:rsidRDefault="00FA7864" w:rsidP="00DC44FD">
      <w:pPr>
        <w:spacing w:line="240" w:lineRule="auto"/>
      </w:pPr>
      <w:r>
        <w:separator/>
      </w:r>
    </w:p>
  </w:endnote>
  <w:endnote w:type="continuationSeparator" w:id="0">
    <w:p w14:paraId="71422815" w14:textId="77777777" w:rsidR="00FA7864" w:rsidRDefault="00FA7864" w:rsidP="00D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8C96" w14:textId="77777777" w:rsidR="00FA7864" w:rsidRDefault="00FA7864" w:rsidP="00DC44FD">
      <w:pPr>
        <w:spacing w:line="240" w:lineRule="auto"/>
      </w:pPr>
      <w:r>
        <w:separator/>
      </w:r>
    </w:p>
  </w:footnote>
  <w:footnote w:type="continuationSeparator" w:id="0">
    <w:p w14:paraId="12236FA1" w14:textId="77777777" w:rsidR="00FA7864" w:rsidRDefault="00FA7864" w:rsidP="00D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CE877" w14:textId="77777777" w:rsidR="00DC44FD" w:rsidRPr="00031DF5" w:rsidRDefault="00DC44FD" w:rsidP="00DC44FD">
    <w:pPr>
      <w:pStyle w:val="AOE-Header"/>
    </w:pPr>
    <w:r w:rsidRPr="00031DF5">
      <w:drawing>
        <wp:inline distT="0" distB="0" distL="0" distR="0" wp14:anchorId="1DEBCE37" wp14:editId="7A52D8B0">
          <wp:extent cx="1614621" cy="550321"/>
          <wp:effectExtent l="0" t="0" r="5080" b="2540"/>
          <wp:docPr id="12" name="Picture 12"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5D5EEE60" w14:textId="77777777" w:rsidR="00DC44FD" w:rsidRPr="00031DF5" w:rsidRDefault="00DC44FD" w:rsidP="00DC44FD">
    <w:pPr>
      <w:pStyle w:val="AOE-Header"/>
      <w:rPr>
        <w:rFonts w:ascii="Palatino Linotype" w:hAnsi="Palatino Linotype"/>
      </w:rPr>
    </w:pPr>
    <w:r w:rsidRPr="00031DF5">
      <w:rPr>
        <w:rFonts w:ascii="Palatino Linotype" w:hAnsi="Palatino Linotype"/>
      </w:rPr>
      <w:t>1 National Life Drive, Davis 5</w:t>
    </w:r>
    <w:r w:rsidRPr="00031DF5">
      <w:rPr>
        <w:rFonts w:ascii="Palatino Linotype" w:hAnsi="Palatino Linotype"/>
      </w:rPr>
      <w:br/>
      <w:t xml:space="preserve">Montpelier, VT 05620 </w:t>
    </w:r>
    <w:bookmarkStart w:id="0" w:name="_Hlk27730689"/>
    <w:r w:rsidRPr="00031DF5">
      <w:rPr>
        <w:rFonts w:ascii="Palatino Linotype" w:hAnsi="Palatino Linotype"/>
      </w:rPr>
      <w:t>(p) 802</w:t>
    </w:r>
    <w:r>
      <w:rPr>
        <w:rFonts w:ascii="Palatino Linotype" w:hAnsi="Palatino Linotype"/>
      </w:rPr>
      <w:t>-828-1130</w:t>
    </w:r>
    <w:r w:rsidRPr="00031DF5">
      <w:rPr>
        <w:rFonts w:ascii="Palatino Linotype" w:hAnsi="Palatino Linotype"/>
      </w:rPr>
      <w:t xml:space="preserve"> | (f) 802-</w:t>
    </w:r>
    <w:r>
      <w:rPr>
        <w:rFonts w:ascii="Palatino Linotype" w:hAnsi="Palatino Linotype"/>
      </w:rPr>
      <w:t>828-6430</w:t>
    </w:r>
    <w:bookmarkEnd w:id="0"/>
  </w:p>
  <w:p w14:paraId="61BC6BB7" w14:textId="77777777" w:rsidR="00DC44FD" w:rsidRDefault="00D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1266C"/>
    <w:multiLevelType w:val="hybridMultilevel"/>
    <w:tmpl w:val="0AB913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4843EA"/>
    <w:multiLevelType w:val="hybridMultilevel"/>
    <w:tmpl w:val="0A1A7E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16DE77"/>
    <w:multiLevelType w:val="hybridMultilevel"/>
    <w:tmpl w:val="E92F54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14606"/>
    <w:multiLevelType w:val="hybridMultilevel"/>
    <w:tmpl w:val="9DE5F4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555102"/>
    <w:multiLevelType w:val="hybridMultilevel"/>
    <w:tmpl w:val="BB730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3F47B3"/>
    <w:multiLevelType w:val="hybridMultilevel"/>
    <w:tmpl w:val="FDAD1A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3ABD0A"/>
    <w:multiLevelType w:val="hybridMultilevel"/>
    <w:tmpl w:val="E2D0DD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A640B6"/>
    <w:multiLevelType w:val="multilevel"/>
    <w:tmpl w:val="9796BE66"/>
    <w:lvl w:ilvl="0">
      <w:start w:val="1"/>
      <w:numFmt w:val="decimal"/>
      <w:lvlText w:val="%1."/>
      <w:lvlJc w:val="left"/>
      <w:pPr>
        <w:ind w:left="540" w:hanging="540"/>
      </w:pPr>
      <w:rPr>
        <w:rFonts w:hint="default"/>
        <w:u w:val="single"/>
      </w:rPr>
    </w:lvl>
    <w:lvl w:ilvl="1">
      <w:start w:val="3"/>
      <w:numFmt w:val="decimal"/>
      <w:lvlText w:val="%1.%2."/>
      <w:lvlJc w:val="left"/>
      <w:pPr>
        <w:ind w:left="900" w:hanging="54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42044276"/>
    <w:multiLevelType w:val="multilevel"/>
    <w:tmpl w:val="ECF62DAA"/>
    <w:lvl w:ilvl="0">
      <w:start w:val="1"/>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C1D43CB"/>
    <w:multiLevelType w:val="hybridMultilevel"/>
    <w:tmpl w:val="ACB89D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B71019"/>
    <w:multiLevelType w:val="hybridMultilevel"/>
    <w:tmpl w:val="226B6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34F527"/>
    <w:multiLevelType w:val="hybridMultilevel"/>
    <w:tmpl w:val="BD202F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2F0D07"/>
    <w:multiLevelType w:val="multilevel"/>
    <w:tmpl w:val="FBB852A4"/>
    <w:lvl w:ilvl="0">
      <w:start w:val="1"/>
      <w:numFmt w:val="decimal"/>
      <w:lvlText w:val="%1."/>
      <w:lvlJc w:val="left"/>
      <w:pPr>
        <w:ind w:left="540" w:hanging="540"/>
      </w:pPr>
      <w:rPr>
        <w:rFonts w:hint="default"/>
        <w:u w:val="single"/>
      </w:rPr>
    </w:lvl>
    <w:lvl w:ilvl="1">
      <w:start w:val="3"/>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706DAA42"/>
    <w:multiLevelType w:val="hybridMultilevel"/>
    <w:tmpl w:val="795D6E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7"/>
  </w:num>
  <w:num w:numId="4">
    <w:abstractNumId w:val="12"/>
  </w:num>
  <w:num w:numId="5">
    <w:abstractNumId w:val="9"/>
  </w:num>
  <w:num w:numId="6">
    <w:abstractNumId w:val="5"/>
  </w:num>
  <w:num w:numId="7">
    <w:abstractNumId w:val="11"/>
  </w:num>
  <w:num w:numId="8">
    <w:abstractNumId w:val="2"/>
  </w:num>
  <w:num w:numId="9">
    <w:abstractNumId w:val="1"/>
  </w:num>
  <w:num w:numId="10">
    <w:abstractNumId w:val="4"/>
  </w:num>
  <w:num w:numId="11">
    <w:abstractNumId w:val="3"/>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FD"/>
    <w:rsid w:val="00001021"/>
    <w:rsid w:val="00011C7D"/>
    <w:rsid w:val="00012F9C"/>
    <w:rsid w:val="000173A7"/>
    <w:rsid w:val="00017822"/>
    <w:rsid w:val="00040B69"/>
    <w:rsid w:val="00053EB1"/>
    <w:rsid w:val="00086C96"/>
    <w:rsid w:val="000D2356"/>
    <w:rsid w:val="000D57D7"/>
    <w:rsid w:val="000E3210"/>
    <w:rsid w:val="000E5C55"/>
    <w:rsid w:val="000F46A1"/>
    <w:rsid w:val="00115499"/>
    <w:rsid w:val="001162A3"/>
    <w:rsid w:val="001345FB"/>
    <w:rsid w:val="00136867"/>
    <w:rsid w:val="001476EF"/>
    <w:rsid w:val="001750E1"/>
    <w:rsid w:val="00175590"/>
    <w:rsid w:val="00194EB2"/>
    <w:rsid w:val="001A144E"/>
    <w:rsid w:val="001B69E4"/>
    <w:rsid w:val="001F66EA"/>
    <w:rsid w:val="00213E38"/>
    <w:rsid w:val="002144E1"/>
    <w:rsid w:val="002271A0"/>
    <w:rsid w:val="00240D86"/>
    <w:rsid w:val="00275A71"/>
    <w:rsid w:val="0029005A"/>
    <w:rsid w:val="00295DC7"/>
    <w:rsid w:val="002D51D5"/>
    <w:rsid w:val="00300A4D"/>
    <w:rsid w:val="00300B8C"/>
    <w:rsid w:val="003045FE"/>
    <w:rsid w:val="003060AA"/>
    <w:rsid w:val="00310284"/>
    <w:rsid w:val="0031536B"/>
    <w:rsid w:val="00344675"/>
    <w:rsid w:val="003505D8"/>
    <w:rsid w:val="00354777"/>
    <w:rsid w:val="00391B9D"/>
    <w:rsid w:val="003F3FBC"/>
    <w:rsid w:val="00400405"/>
    <w:rsid w:val="004008AF"/>
    <w:rsid w:val="00407FDC"/>
    <w:rsid w:val="00411693"/>
    <w:rsid w:val="00427B68"/>
    <w:rsid w:val="0047780D"/>
    <w:rsid w:val="0048130D"/>
    <w:rsid w:val="00492776"/>
    <w:rsid w:val="004A054A"/>
    <w:rsid w:val="004B28DB"/>
    <w:rsid w:val="004B2BF5"/>
    <w:rsid w:val="004E008A"/>
    <w:rsid w:val="004F0635"/>
    <w:rsid w:val="0050787F"/>
    <w:rsid w:val="0055387C"/>
    <w:rsid w:val="00582A24"/>
    <w:rsid w:val="00592F60"/>
    <w:rsid w:val="005A267B"/>
    <w:rsid w:val="005D28D2"/>
    <w:rsid w:val="005D6C5B"/>
    <w:rsid w:val="005E3A52"/>
    <w:rsid w:val="0060446F"/>
    <w:rsid w:val="00606969"/>
    <w:rsid w:val="00606BD1"/>
    <w:rsid w:val="00642AE5"/>
    <w:rsid w:val="00680574"/>
    <w:rsid w:val="006A4776"/>
    <w:rsid w:val="006B1093"/>
    <w:rsid w:val="006B7E51"/>
    <w:rsid w:val="006D13CD"/>
    <w:rsid w:val="006D408F"/>
    <w:rsid w:val="006F0B4E"/>
    <w:rsid w:val="0071464F"/>
    <w:rsid w:val="00716A81"/>
    <w:rsid w:val="00756106"/>
    <w:rsid w:val="007C16DF"/>
    <w:rsid w:val="007D01FA"/>
    <w:rsid w:val="007D0393"/>
    <w:rsid w:val="007E6304"/>
    <w:rsid w:val="007F673C"/>
    <w:rsid w:val="00814272"/>
    <w:rsid w:val="00833860"/>
    <w:rsid w:val="00852B8A"/>
    <w:rsid w:val="00854A16"/>
    <w:rsid w:val="00866048"/>
    <w:rsid w:val="008750C2"/>
    <w:rsid w:val="0089694E"/>
    <w:rsid w:val="008B2E11"/>
    <w:rsid w:val="008E27C3"/>
    <w:rsid w:val="008E5D47"/>
    <w:rsid w:val="009003CB"/>
    <w:rsid w:val="0094247D"/>
    <w:rsid w:val="00942BB2"/>
    <w:rsid w:val="00943366"/>
    <w:rsid w:val="009442E0"/>
    <w:rsid w:val="00945130"/>
    <w:rsid w:val="00947828"/>
    <w:rsid w:val="00964648"/>
    <w:rsid w:val="009668C3"/>
    <w:rsid w:val="009819C4"/>
    <w:rsid w:val="009A0A6A"/>
    <w:rsid w:val="009A54FF"/>
    <w:rsid w:val="009B4600"/>
    <w:rsid w:val="009C3D6D"/>
    <w:rsid w:val="009E14B1"/>
    <w:rsid w:val="00A14A1C"/>
    <w:rsid w:val="00A44520"/>
    <w:rsid w:val="00A64245"/>
    <w:rsid w:val="00A71C81"/>
    <w:rsid w:val="00A825F5"/>
    <w:rsid w:val="00A854E6"/>
    <w:rsid w:val="00A97554"/>
    <w:rsid w:val="00AB320A"/>
    <w:rsid w:val="00AF0B26"/>
    <w:rsid w:val="00AF0F7D"/>
    <w:rsid w:val="00B12A4A"/>
    <w:rsid w:val="00B222B5"/>
    <w:rsid w:val="00B543AA"/>
    <w:rsid w:val="00B5573B"/>
    <w:rsid w:val="00B5797E"/>
    <w:rsid w:val="00B659ED"/>
    <w:rsid w:val="00B873B5"/>
    <w:rsid w:val="00B94470"/>
    <w:rsid w:val="00BA333B"/>
    <w:rsid w:val="00BC1574"/>
    <w:rsid w:val="00BD160D"/>
    <w:rsid w:val="00BD4594"/>
    <w:rsid w:val="00BE60D0"/>
    <w:rsid w:val="00BF12CE"/>
    <w:rsid w:val="00BF174F"/>
    <w:rsid w:val="00C058B9"/>
    <w:rsid w:val="00C33B3B"/>
    <w:rsid w:val="00C42324"/>
    <w:rsid w:val="00C4453D"/>
    <w:rsid w:val="00C450B3"/>
    <w:rsid w:val="00C64686"/>
    <w:rsid w:val="00C70E01"/>
    <w:rsid w:val="00C76CEE"/>
    <w:rsid w:val="00CA57DB"/>
    <w:rsid w:val="00CB4808"/>
    <w:rsid w:val="00CB6B51"/>
    <w:rsid w:val="00CC26CC"/>
    <w:rsid w:val="00CC40D9"/>
    <w:rsid w:val="00CF312C"/>
    <w:rsid w:val="00D038DE"/>
    <w:rsid w:val="00D10D4A"/>
    <w:rsid w:val="00D1457E"/>
    <w:rsid w:val="00D14D89"/>
    <w:rsid w:val="00D44BBE"/>
    <w:rsid w:val="00D4625C"/>
    <w:rsid w:val="00D539EE"/>
    <w:rsid w:val="00D57493"/>
    <w:rsid w:val="00D65575"/>
    <w:rsid w:val="00D867B5"/>
    <w:rsid w:val="00D96E91"/>
    <w:rsid w:val="00DA60DB"/>
    <w:rsid w:val="00DC44FD"/>
    <w:rsid w:val="00DD4300"/>
    <w:rsid w:val="00DE2A10"/>
    <w:rsid w:val="00E3138E"/>
    <w:rsid w:val="00E63BE6"/>
    <w:rsid w:val="00E7719A"/>
    <w:rsid w:val="00E95556"/>
    <w:rsid w:val="00EB1FA7"/>
    <w:rsid w:val="00ED2D4D"/>
    <w:rsid w:val="00ED3670"/>
    <w:rsid w:val="00EE5E1C"/>
    <w:rsid w:val="00F45FD5"/>
    <w:rsid w:val="00F47422"/>
    <w:rsid w:val="00F570AE"/>
    <w:rsid w:val="00F76C3F"/>
    <w:rsid w:val="00FA19C9"/>
    <w:rsid w:val="00FA7864"/>
    <w:rsid w:val="00FB4FA8"/>
    <w:rsid w:val="00FC2D85"/>
    <w:rsid w:val="00FD3DD2"/>
    <w:rsid w:val="00FE01A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D8B4"/>
  <w15:chartTrackingRefBased/>
  <w15:docId w15:val="{E214592E-DC87-4400-8DFF-069DFA99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F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4FD"/>
    <w:pPr>
      <w:tabs>
        <w:tab w:val="center" w:pos="4680"/>
        <w:tab w:val="right" w:pos="9360"/>
      </w:tabs>
      <w:spacing w:line="240" w:lineRule="auto"/>
    </w:pPr>
  </w:style>
  <w:style w:type="character" w:customStyle="1" w:styleId="HeaderChar">
    <w:name w:val="Header Char"/>
    <w:basedOn w:val="DefaultParagraphFont"/>
    <w:link w:val="Header"/>
    <w:uiPriority w:val="99"/>
    <w:rsid w:val="00DC44FD"/>
  </w:style>
  <w:style w:type="paragraph" w:styleId="Footer">
    <w:name w:val="footer"/>
    <w:basedOn w:val="Normal"/>
    <w:link w:val="FooterChar"/>
    <w:uiPriority w:val="99"/>
    <w:unhideWhenUsed/>
    <w:rsid w:val="00DC44FD"/>
    <w:pPr>
      <w:tabs>
        <w:tab w:val="center" w:pos="4680"/>
        <w:tab w:val="right" w:pos="9360"/>
      </w:tabs>
      <w:spacing w:line="240" w:lineRule="auto"/>
    </w:pPr>
  </w:style>
  <w:style w:type="character" w:customStyle="1" w:styleId="FooterChar">
    <w:name w:val="Footer Char"/>
    <w:basedOn w:val="DefaultParagraphFont"/>
    <w:link w:val="Footer"/>
    <w:uiPriority w:val="99"/>
    <w:rsid w:val="00DC44FD"/>
  </w:style>
  <w:style w:type="paragraph" w:customStyle="1" w:styleId="AOE-Header">
    <w:name w:val="AOE - Header"/>
    <w:basedOn w:val="Normal"/>
    <w:link w:val="AOE-HeaderChar"/>
    <w:rsid w:val="00DC44FD"/>
    <w:pPr>
      <w:spacing w:line="240" w:lineRule="auto"/>
      <w:jc w:val="center"/>
    </w:pPr>
    <w:rPr>
      <w:rFonts w:ascii="Times New Roman" w:eastAsia="Times New Roman" w:hAnsi="Times New Roman" w:cs="Times New Roman"/>
      <w:noProof/>
      <w:sz w:val="20"/>
      <w:szCs w:val="20"/>
    </w:rPr>
  </w:style>
  <w:style w:type="character" w:customStyle="1" w:styleId="AOE-HeaderChar">
    <w:name w:val="AOE - Header Char"/>
    <w:basedOn w:val="DefaultParagraphFont"/>
    <w:link w:val="AOE-Header"/>
    <w:rsid w:val="00DC44FD"/>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DC44FD"/>
    <w:rPr>
      <w:color w:val="0563C1" w:themeColor="hyperlink"/>
      <w:u w:val="single"/>
    </w:rPr>
  </w:style>
  <w:style w:type="paragraph" w:customStyle="1" w:styleId="CM329">
    <w:name w:val="CM329"/>
    <w:basedOn w:val="Normal"/>
    <w:next w:val="Normal"/>
    <w:uiPriority w:val="99"/>
    <w:rsid w:val="00DC44FD"/>
    <w:pPr>
      <w:autoSpaceDE w:val="0"/>
      <w:autoSpaceDN w:val="0"/>
      <w:adjustRightInd w:val="0"/>
      <w:spacing w:line="240" w:lineRule="auto"/>
    </w:pPr>
    <w:rPr>
      <w:rFonts w:ascii="Palatino Linotype" w:eastAsiaTheme="minorHAnsi" w:hAnsi="Palatino Linotype" w:cstheme="minorBidi"/>
      <w:sz w:val="24"/>
      <w:szCs w:val="24"/>
      <w:lang w:val="en-US"/>
    </w:rPr>
  </w:style>
  <w:style w:type="paragraph" w:customStyle="1" w:styleId="CM19">
    <w:name w:val="CM19"/>
    <w:basedOn w:val="Normal"/>
    <w:next w:val="Normal"/>
    <w:uiPriority w:val="99"/>
    <w:rsid w:val="00F570AE"/>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313">
    <w:name w:val="CM313"/>
    <w:basedOn w:val="Normal"/>
    <w:next w:val="Normal"/>
    <w:uiPriority w:val="99"/>
    <w:rsid w:val="00B873B5"/>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290">
    <w:name w:val="CM290"/>
    <w:basedOn w:val="Normal"/>
    <w:next w:val="Normal"/>
    <w:uiPriority w:val="99"/>
    <w:rsid w:val="00DE2A10"/>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291">
    <w:name w:val="CM291"/>
    <w:basedOn w:val="Normal"/>
    <w:next w:val="Normal"/>
    <w:uiPriority w:val="99"/>
    <w:rsid w:val="00945130"/>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314">
    <w:name w:val="CM314"/>
    <w:basedOn w:val="Normal"/>
    <w:next w:val="Normal"/>
    <w:uiPriority w:val="99"/>
    <w:rsid w:val="00175590"/>
    <w:pPr>
      <w:autoSpaceDE w:val="0"/>
      <w:autoSpaceDN w:val="0"/>
      <w:adjustRightInd w:val="0"/>
      <w:spacing w:line="298" w:lineRule="atLeast"/>
    </w:pPr>
    <w:rPr>
      <w:rFonts w:ascii="Palatino Linotype" w:eastAsiaTheme="minorHAnsi" w:hAnsi="Palatino Linotype" w:cstheme="minorBidi"/>
      <w:sz w:val="24"/>
      <w:szCs w:val="24"/>
      <w:lang w:val="en-US"/>
    </w:rPr>
  </w:style>
  <w:style w:type="paragraph" w:customStyle="1" w:styleId="CM310">
    <w:name w:val="CM310"/>
    <w:basedOn w:val="Normal"/>
    <w:next w:val="Normal"/>
    <w:uiPriority w:val="99"/>
    <w:rsid w:val="006F0B4E"/>
    <w:pPr>
      <w:autoSpaceDE w:val="0"/>
      <w:autoSpaceDN w:val="0"/>
      <w:adjustRightInd w:val="0"/>
      <w:spacing w:line="296" w:lineRule="atLeast"/>
    </w:pPr>
    <w:rPr>
      <w:rFonts w:ascii="Palatino Linotype" w:eastAsiaTheme="minorHAnsi" w:hAnsi="Palatino Linotype" w:cstheme="minorBidi"/>
      <w:sz w:val="24"/>
      <w:szCs w:val="24"/>
      <w:lang w:val="en-US"/>
    </w:rPr>
  </w:style>
  <w:style w:type="paragraph" w:customStyle="1" w:styleId="Default">
    <w:name w:val="Default"/>
    <w:rsid w:val="007D039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68">
    <w:name w:val="CM68"/>
    <w:basedOn w:val="Default"/>
    <w:next w:val="Default"/>
    <w:uiPriority w:val="99"/>
    <w:rsid w:val="009A54FF"/>
    <w:pPr>
      <w:spacing w:line="298" w:lineRule="atLeast"/>
    </w:pPr>
    <w:rPr>
      <w:rFonts w:cstheme="minorBidi"/>
      <w:color w:val="auto"/>
    </w:rPr>
  </w:style>
  <w:style w:type="paragraph" w:customStyle="1" w:styleId="CM315">
    <w:name w:val="CM315"/>
    <w:basedOn w:val="Default"/>
    <w:next w:val="Default"/>
    <w:uiPriority w:val="99"/>
    <w:rsid w:val="00D867B5"/>
    <w:pPr>
      <w:spacing w:line="298" w:lineRule="atLeast"/>
    </w:pPr>
    <w:rPr>
      <w:rFonts w:cstheme="minorBidi"/>
      <w:color w:val="auto"/>
    </w:rPr>
  </w:style>
  <w:style w:type="paragraph" w:customStyle="1" w:styleId="CM27">
    <w:name w:val="CM27"/>
    <w:basedOn w:val="Default"/>
    <w:next w:val="Default"/>
    <w:uiPriority w:val="99"/>
    <w:rsid w:val="00642AE5"/>
    <w:pPr>
      <w:spacing w:line="296" w:lineRule="atLeast"/>
    </w:pPr>
    <w:rPr>
      <w:rFonts w:cstheme="minorBidi"/>
      <w:color w:val="auto"/>
    </w:rPr>
  </w:style>
  <w:style w:type="paragraph" w:styleId="ListParagraph">
    <w:name w:val="List Paragraph"/>
    <w:basedOn w:val="Normal"/>
    <w:uiPriority w:val="34"/>
    <w:qFormat/>
    <w:rsid w:val="00F45FD5"/>
    <w:pPr>
      <w:ind w:left="720"/>
      <w:contextualSpacing/>
    </w:pPr>
  </w:style>
  <w:style w:type="paragraph" w:customStyle="1" w:styleId="CM316">
    <w:name w:val="CM316"/>
    <w:basedOn w:val="Default"/>
    <w:next w:val="Default"/>
    <w:uiPriority w:val="99"/>
    <w:rsid w:val="002D51D5"/>
    <w:pPr>
      <w:spacing w:line="296" w:lineRule="atLeast"/>
    </w:pPr>
    <w:rPr>
      <w:rFonts w:cstheme="minorBidi"/>
      <w:color w:val="auto"/>
    </w:rPr>
  </w:style>
  <w:style w:type="paragraph" w:customStyle="1" w:styleId="CM90">
    <w:name w:val="CM90"/>
    <w:basedOn w:val="Default"/>
    <w:next w:val="Default"/>
    <w:uiPriority w:val="99"/>
    <w:rsid w:val="006D408F"/>
    <w:pPr>
      <w:spacing w:line="298"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7FB22-2D48-4EA1-A8CD-F2E47BCCA46D}">
  <ds:schemaRefs>
    <ds:schemaRef ds:uri="http://schemas.microsoft.com/sharepoint/v3/contenttype/forms"/>
  </ds:schemaRefs>
</ds:datastoreItem>
</file>

<file path=customXml/itemProps2.xml><?xml version="1.0" encoding="utf-8"?>
<ds:datastoreItem xmlns:ds="http://schemas.openxmlformats.org/officeDocument/2006/customXml" ds:itemID="{F962C12E-4E77-42C9-BD5B-4470631D3C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FCD219-02F3-44D9-8F63-9AF879C27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6937</Characters>
  <Application>Microsoft Office Word</Application>
  <DocSecurity>0</DocSecurity>
  <Lines>867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Cairns</dc:creator>
  <cp:keywords/>
  <dc:description/>
  <cp:lastModifiedBy>Scalabrini, Amy</cp:lastModifiedBy>
  <cp:revision>3</cp:revision>
  <dcterms:created xsi:type="dcterms:W3CDTF">2021-09-09T17:58:00Z</dcterms:created>
  <dcterms:modified xsi:type="dcterms:W3CDTF">2021-09-09T17:58:00Z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