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C07E" w14:textId="784C8519" w:rsidR="00070514" w:rsidRPr="00847C2A" w:rsidRDefault="00070514" w:rsidP="00070514">
      <w:pPr>
        <w:pStyle w:val="Heading"/>
        <w:jc w:val="center"/>
        <w:rPr>
          <w:rStyle w:val="Strong"/>
          <w:rFonts w:ascii="Franklin Gothic Demi Cond" w:hAnsi="Franklin Gothic Demi Cond"/>
          <w:b w:val="0"/>
          <w:bCs w:val="0"/>
          <w:sz w:val="32"/>
          <w:szCs w:val="32"/>
        </w:rPr>
      </w:pPr>
      <w:r w:rsidRPr="00847C2A">
        <w:rPr>
          <w:rStyle w:val="Strong"/>
          <w:rFonts w:ascii="Franklin Gothic Demi Cond" w:hAnsi="Franklin Gothic Demi Cond"/>
          <w:b w:val="0"/>
          <w:bCs w:val="0"/>
          <w:sz w:val="32"/>
          <w:szCs w:val="32"/>
        </w:rPr>
        <w:t>Summer Food Service Program (SFSP)</w:t>
      </w:r>
      <w:r w:rsidRPr="00847C2A">
        <w:rPr>
          <w:rStyle w:val="Strong"/>
          <w:rFonts w:ascii="Franklin Gothic Demi Cond" w:hAnsi="Franklin Gothic Demi Cond"/>
          <w:b w:val="0"/>
          <w:bCs w:val="0"/>
          <w:sz w:val="32"/>
          <w:szCs w:val="32"/>
        </w:rPr>
        <w:br/>
        <w:t>Annual Procurement Threshold Determinations</w:t>
      </w:r>
    </w:p>
    <w:p w14:paraId="2AA8D17A" w14:textId="77777777" w:rsidR="00070514" w:rsidRDefault="00070514" w:rsidP="00070514">
      <w:pPr>
        <w:pStyle w:val="Heading"/>
        <w:rPr>
          <w:rFonts w:hint="eastAsia"/>
        </w:rPr>
      </w:pPr>
    </w:p>
    <w:p w14:paraId="5EA33037" w14:textId="4592C553" w:rsidR="00AA20DF" w:rsidRPr="0086398B" w:rsidRDefault="00AA20DF" w:rsidP="00AA20DF">
      <w:pPr>
        <w:pStyle w:val="BodyText"/>
        <w:rPr>
          <w:rFonts w:ascii="Palatino Linotype" w:hAnsi="Palatino Linotype"/>
          <w:b/>
          <w:color w:val="1D2228"/>
          <w:sz w:val="22"/>
          <w:szCs w:val="22"/>
        </w:rPr>
      </w:pPr>
      <w:r w:rsidRPr="0086398B">
        <w:rPr>
          <w:rFonts w:ascii="Palatino Linotype" w:hAnsi="Palatino Linotype"/>
          <w:b/>
          <w:color w:val="1D2228"/>
          <w:sz w:val="22"/>
          <w:szCs w:val="22"/>
        </w:rPr>
        <w:t xml:space="preserve">*If Procurement Procedures are updated annually, this form does not need to be completed. </w:t>
      </w:r>
    </w:p>
    <w:p w14:paraId="4965B104" w14:textId="6B38019F" w:rsidR="003C1FDB" w:rsidRPr="0086398B" w:rsidRDefault="007B48F7">
      <w:pPr>
        <w:pStyle w:val="BodyText"/>
        <w:rPr>
          <w:rFonts w:ascii="Palatino Linotype" w:hAnsi="Palatino Linotype"/>
          <w:color w:val="1D2228"/>
          <w:sz w:val="22"/>
          <w:szCs w:val="22"/>
        </w:rPr>
      </w:pPr>
      <w:r w:rsidRPr="00847C2A">
        <w:rPr>
          <w:rFonts w:ascii="Palatino Linotype" w:hAnsi="Palatino Linotype"/>
          <w:b/>
          <w:bCs/>
          <w:color w:val="1D2228"/>
          <w:sz w:val="22"/>
          <w:szCs w:val="22"/>
        </w:rPr>
        <w:t>Annually</w:t>
      </w:r>
      <w:r w:rsidR="00022DAE" w:rsidRPr="00847C2A">
        <w:rPr>
          <w:rFonts w:ascii="Palatino Linotype" w:hAnsi="Palatino Linotype"/>
          <w:color w:val="1D2228"/>
          <w:sz w:val="22"/>
          <w:szCs w:val="22"/>
        </w:rPr>
        <w:t>,</w:t>
      </w:r>
      <w:r w:rsidRPr="00847C2A">
        <w:rPr>
          <w:rFonts w:ascii="Palatino Linotype" w:hAnsi="Palatino Linotype"/>
          <w:color w:val="1D2228"/>
          <w:sz w:val="22"/>
          <w:szCs w:val="22"/>
        </w:rPr>
        <w:t xml:space="preserve"> </w:t>
      </w:r>
      <w:r w:rsidRPr="0086398B">
        <w:rPr>
          <w:rFonts w:ascii="Palatino Linotype" w:hAnsi="Palatino Linotype"/>
          <w:color w:val="1D2228"/>
          <w:sz w:val="22"/>
          <w:szCs w:val="22"/>
        </w:rPr>
        <w:t xml:space="preserve">the </w:t>
      </w:r>
      <w:r w:rsidR="00264446" w:rsidRPr="0086398B">
        <w:rPr>
          <w:rFonts w:ascii="Palatino Linotype" w:hAnsi="Palatino Linotype"/>
          <w:color w:val="1D2228"/>
          <w:sz w:val="22"/>
          <w:szCs w:val="22"/>
        </w:rPr>
        <w:t>Sponsor</w:t>
      </w:r>
      <w:r w:rsidR="00022DAE" w:rsidRPr="0086398B">
        <w:rPr>
          <w:rFonts w:ascii="Palatino Linotype" w:hAnsi="Palatino Linotype"/>
          <w:color w:val="1D2228"/>
          <w:sz w:val="22"/>
          <w:szCs w:val="22"/>
        </w:rPr>
        <w:t xml:space="preserve"> as the “non-federal entity” </w:t>
      </w:r>
      <w:r w:rsidRPr="0086398B">
        <w:rPr>
          <w:rFonts w:ascii="Palatino Linotype" w:hAnsi="Palatino Linotype"/>
          <w:color w:val="1D2228"/>
          <w:sz w:val="22"/>
          <w:szCs w:val="22"/>
        </w:rPr>
        <w:t>must determine its threshold for both micro-purchases and small purchases.</w:t>
      </w:r>
      <w:r w:rsidR="002146E5" w:rsidRPr="0086398B">
        <w:rPr>
          <w:rFonts w:ascii="Palatino Linotype" w:hAnsi="Palatino Linotype"/>
          <w:color w:val="1D2228"/>
          <w:sz w:val="22"/>
          <w:szCs w:val="22"/>
        </w:rPr>
        <w:t xml:space="preserve"> </w:t>
      </w:r>
      <w:r w:rsidRPr="0086398B">
        <w:rPr>
          <w:rFonts w:ascii="Palatino Linotype" w:hAnsi="Palatino Linotype"/>
          <w:color w:val="1D2228"/>
          <w:sz w:val="22"/>
          <w:szCs w:val="22"/>
        </w:rPr>
        <w:t xml:space="preserve">These determinations must be based on criteria set by the Federal regulations and must be documented. </w:t>
      </w:r>
      <w:r w:rsidR="00FB2B3D" w:rsidRPr="0086398B">
        <w:rPr>
          <w:rFonts w:ascii="Palatino Linotype" w:hAnsi="Palatino Linotype"/>
          <w:color w:val="1D2228"/>
          <w:sz w:val="22"/>
          <w:szCs w:val="22"/>
        </w:rPr>
        <w:t xml:space="preserve">The </w:t>
      </w:r>
      <w:r w:rsidR="00264446" w:rsidRPr="0086398B">
        <w:rPr>
          <w:rFonts w:ascii="Palatino Linotype" w:hAnsi="Palatino Linotype"/>
          <w:color w:val="1D2228"/>
          <w:sz w:val="22"/>
          <w:szCs w:val="22"/>
        </w:rPr>
        <w:t>Sponsor</w:t>
      </w:r>
      <w:r w:rsidR="00FB2B3D" w:rsidRPr="0086398B">
        <w:rPr>
          <w:rFonts w:ascii="Palatino Linotype" w:hAnsi="Palatino Linotype"/>
          <w:color w:val="1D2228"/>
          <w:sz w:val="22"/>
          <w:szCs w:val="22"/>
        </w:rPr>
        <w:t xml:space="preserve"> must document its determination</w:t>
      </w:r>
      <w:r w:rsidR="00DA2474" w:rsidRPr="0086398B">
        <w:rPr>
          <w:rFonts w:ascii="Palatino Linotype" w:hAnsi="Palatino Linotype"/>
          <w:color w:val="1D2228"/>
          <w:sz w:val="22"/>
          <w:szCs w:val="22"/>
        </w:rPr>
        <w:t xml:space="preserve"> on an annual basis,</w:t>
      </w:r>
      <w:r w:rsidR="00FB2B3D" w:rsidRPr="0086398B">
        <w:rPr>
          <w:rFonts w:ascii="Palatino Linotype" w:hAnsi="Palatino Linotype"/>
          <w:color w:val="1D2228"/>
          <w:sz w:val="22"/>
          <w:szCs w:val="22"/>
        </w:rPr>
        <w:t xml:space="preserve"> e</w:t>
      </w:r>
      <w:r w:rsidRPr="0086398B">
        <w:rPr>
          <w:rFonts w:ascii="Palatino Linotype" w:hAnsi="Palatino Linotype"/>
          <w:color w:val="1D2228"/>
          <w:sz w:val="22"/>
          <w:szCs w:val="22"/>
        </w:rPr>
        <w:t xml:space="preserve">ven if the </w:t>
      </w:r>
      <w:r w:rsidR="00264446" w:rsidRPr="0086398B">
        <w:rPr>
          <w:rFonts w:ascii="Palatino Linotype" w:hAnsi="Palatino Linotype"/>
          <w:color w:val="1D2228"/>
          <w:sz w:val="22"/>
          <w:szCs w:val="22"/>
        </w:rPr>
        <w:t>Sponsor</w:t>
      </w:r>
      <w:r w:rsidRPr="0086398B">
        <w:rPr>
          <w:rFonts w:ascii="Palatino Linotype" w:hAnsi="Palatino Linotype"/>
          <w:color w:val="1D2228"/>
          <w:sz w:val="22"/>
          <w:szCs w:val="22"/>
        </w:rPr>
        <w:t xml:space="preserve"> determines to stay at the current</w:t>
      </w:r>
      <w:r w:rsidR="00FB2B3D" w:rsidRPr="0086398B">
        <w:rPr>
          <w:rFonts w:ascii="Palatino Linotype" w:hAnsi="Palatino Linotype"/>
          <w:color w:val="1D2228"/>
          <w:sz w:val="22"/>
          <w:szCs w:val="22"/>
        </w:rPr>
        <w:t>ly established</w:t>
      </w:r>
      <w:r w:rsidRPr="0086398B">
        <w:rPr>
          <w:rFonts w:ascii="Palatino Linotype" w:hAnsi="Palatino Linotype"/>
          <w:color w:val="1D2228"/>
          <w:sz w:val="22"/>
          <w:szCs w:val="22"/>
        </w:rPr>
        <w:t xml:space="preserve"> thresholds</w:t>
      </w:r>
      <w:r w:rsidR="00FB2B3D" w:rsidRPr="0086398B">
        <w:rPr>
          <w:rFonts w:ascii="Palatino Linotype" w:hAnsi="Palatino Linotype"/>
          <w:color w:val="1D2228"/>
          <w:sz w:val="22"/>
          <w:szCs w:val="22"/>
        </w:rPr>
        <w:t xml:space="preserve"> and does not change the </w:t>
      </w:r>
      <w:r w:rsidR="00264446" w:rsidRPr="0086398B">
        <w:rPr>
          <w:rFonts w:ascii="Palatino Linotype" w:hAnsi="Palatino Linotype"/>
          <w:color w:val="1D2228"/>
          <w:sz w:val="22"/>
          <w:szCs w:val="22"/>
        </w:rPr>
        <w:t>Sponsor</w:t>
      </w:r>
      <w:r w:rsidR="00FB2B3D" w:rsidRPr="0086398B">
        <w:rPr>
          <w:rFonts w:ascii="Palatino Linotype" w:hAnsi="Palatino Linotype"/>
          <w:color w:val="1D2228"/>
          <w:sz w:val="22"/>
          <w:szCs w:val="22"/>
        </w:rPr>
        <w:t>’s annual threshold</w:t>
      </w:r>
      <w:r w:rsidR="00DA2474" w:rsidRPr="0086398B">
        <w:rPr>
          <w:rFonts w:ascii="Palatino Linotype" w:hAnsi="Palatino Linotype"/>
          <w:color w:val="1D2228"/>
          <w:sz w:val="22"/>
          <w:szCs w:val="22"/>
        </w:rPr>
        <w:t>s</w:t>
      </w:r>
      <w:r w:rsidR="00FB2B3D" w:rsidRPr="0086398B">
        <w:rPr>
          <w:rFonts w:ascii="Palatino Linotype" w:hAnsi="Palatino Linotype"/>
          <w:color w:val="1D2228"/>
          <w:sz w:val="22"/>
          <w:szCs w:val="22"/>
        </w:rPr>
        <w:t xml:space="preserve">.   </w:t>
      </w:r>
    </w:p>
    <w:p w14:paraId="5D44BE58" w14:textId="2D450268" w:rsidR="003C1FDB" w:rsidRPr="0086398B" w:rsidRDefault="007B48F7">
      <w:pPr>
        <w:pStyle w:val="BodyText"/>
        <w:rPr>
          <w:rFonts w:ascii="Palatino Linotype" w:hAnsi="Palatino Linotype"/>
          <w:sz w:val="22"/>
          <w:szCs w:val="22"/>
        </w:rPr>
      </w:pPr>
      <w:r w:rsidRPr="0086398B">
        <w:rPr>
          <w:rFonts w:ascii="Palatino Linotype" w:hAnsi="Palatino Linotype"/>
          <w:color w:val="1D2228"/>
          <w:sz w:val="22"/>
          <w:szCs w:val="22"/>
        </w:rPr>
        <w:t xml:space="preserve">The micro-purchase threshold may be increased up to a limit of $ 50,000. Federal regulations list the bases of that determination as being internal controls, evaluation of risk, and documented procurement procedures. </w:t>
      </w:r>
      <w:r w:rsidR="00022DAE" w:rsidRPr="0086398B">
        <w:rPr>
          <w:rFonts w:ascii="Palatino Linotype" w:hAnsi="Palatino Linotype"/>
          <w:color w:val="1D2228"/>
          <w:sz w:val="22"/>
          <w:szCs w:val="22"/>
        </w:rPr>
        <w:t>Additionally,</w:t>
      </w:r>
      <w:r w:rsidRPr="0086398B">
        <w:rPr>
          <w:rFonts w:ascii="Palatino Linotype" w:hAnsi="Palatino Linotype"/>
          <w:color w:val="1D2228"/>
          <w:sz w:val="22"/>
          <w:szCs w:val="22"/>
        </w:rPr>
        <w:t xml:space="preserve"> the threshold must be authorized or not prohibited under state, local or tribal laws or regulations. It is possible to increase this threshold beyond $ 50,000 but approval by the V</w:t>
      </w:r>
      <w:r w:rsidR="00847C2A">
        <w:rPr>
          <w:rFonts w:ascii="Palatino Linotype" w:hAnsi="Palatino Linotype"/>
          <w:color w:val="1D2228"/>
          <w:sz w:val="22"/>
          <w:szCs w:val="22"/>
        </w:rPr>
        <w:t>ermont</w:t>
      </w:r>
      <w:r w:rsidRPr="0086398B">
        <w:rPr>
          <w:rFonts w:ascii="Palatino Linotype" w:hAnsi="Palatino Linotype"/>
          <w:color w:val="1D2228"/>
          <w:sz w:val="22"/>
          <w:szCs w:val="22"/>
        </w:rPr>
        <w:t xml:space="preserve"> </w:t>
      </w:r>
      <w:r w:rsidR="00DF178C" w:rsidRPr="0086398B">
        <w:rPr>
          <w:rFonts w:ascii="Palatino Linotype" w:hAnsi="Palatino Linotype"/>
          <w:color w:val="1D2228"/>
          <w:sz w:val="22"/>
          <w:szCs w:val="22"/>
        </w:rPr>
        <w:t>Agency of Education (AOE)</w:t>
      </w:r>
      <w:r w:rsidR="00B07A3A" w:rsidRPr="0086398B">
        <w:rPr>
          <w:rFonts w:ascii="Palatino Linotype" w:hAnsi="Palatino Linotype"/>
          <w:color w:val="1D2228"/>
          <w:sz w:val="22"/>
          <w:szCs w:val="22"/>
        </w:rPr>
        <w:t xml:space="preserve"> or the applicable</w:t>
      </w:r>
      <w:r w:rsidR="00DF178C" w:rsidRPr="0086398B">
        <w:rPr>
          <w:rFonts w:ascii="Palatino Linotype" w:hAnsi="Palatino Linotype"/>
          <w:color w:val="1D2228"/>
          <w:sz w:val="22"/>
          <w:szCs w:val="22"/>
        </w:rPr>
        <w:t xml:space="preserve"> </w:t>
      </w:r>
      <w:r w:rsidRPr="0086398B">
        <w:rPr>
          <w:rFonts w:ascii="Palatino Linotype" w:hAnsi="Palatino Linotype"/>
          <w:color w:val="1D2228"/>
          <w:sz w:val="22"/>
          <w:szCs w:val="22"/>
        </w:rPr>
        <w:t>“cognizant agency for indirect costs” is required.</w:t>
      </w:r>
    </w:p>
    <w:p w14:paraId="31471248" w14:textId="5F5B550D" w:rsidR="003C1FDB" w:rsidRPr="0086398B" w:rsidRDefault="007B48F7">
      <w:pPr>
        <w:pStyle w:val="BodyText"/>
        <w:rPr>
          <w:rFonts w:ascii="Palatino Linotype" w:hAnsi="Palatino Linotype"/>
          <w:sz w:val="22"/>
          <w:szCs w:val="22"/>
        </w:rPr>
      </w:pPr>
      <w:r w:rsidRPr="0086398B">
        <w:rPr>
          <w:rFonts w:ascii="Palatino Linotype" w:hAnsi="Palatino Linotype"/>
          <w:color w:val="1D2228"/>
          <w:sz w:val="22"/>
          <w:szCs w:val="22"/>
        </w:rPr>
        <w:t>The small purchase threshold may be set at a level below the threshold set in the Federal Acquisition Regulations (FAR), currently $ 250,000. Federal regulations list the bases of that determination as being internal controls, evaluation of risk, and documented procurement procedures.</w:t>
      </w:r>
    </w:p>
    <w:p w14:paraId="5A255E06" w14:textId="4DDABA26" w:rsidR="007B48F7" w:rsidRDefault="00154E49">
      <w:pPr>
        <w:pStyle w:val="BodyText"/>
        <w:rPr>
          <w:rFonts w:ascii="Palatino Linotype" w:hAnsi="Palatino Linotype"/>
          <w:color w:val="1D2228"/>
          <w:sz w:val="22"/>
          <w:szCs w:val="22"/>
        </w:rPr>
      </w:pPr>
      <w:r w:rsidRPr="0086398B">
        <w:rPr>
          <w:rFonts w:ascii="Palatino Linotype" w:hAnsi="Palatino Linotype"/>
          <w:color w:val="1D2228"/>
          <w:sz w:val="22"/>
          <w:szCs w:val="22"/>
        </w:rPr>
        <w:t xml:space="preserve">These thresholds apply </w:t>
      </w:r>
      <w:r w:rsidR="00264446" w:rsidRPr="0086398B">
        <w:rPr>
          <w:rFonts w:ascii="Palatino Linotype" w:hAnsi="Palatino Linotype"/>
          <w:color w:val="1D2228"/>
          <w:sz w:val="22"/>
          <w:szCs w:val="22"/>
        </w:rPr>
        <w:t>Sponsor</w:t>
      </w:r>
      <w:r w:rsidRPr="0086398B">
        <w:rPr>
          <w:rFonts w:ascii="Palatino Linotype" w:hAnsi="Palatino Linotype"/>
          <w:color w:val="1D2228"/>
          <w:sz w:val="22"/>
          <w:szCs w:val="22"/>
        </w:rPr>
        <w:t>-wide to all types of purchases from all Federal sources.</w:t>
      </w:r>
      <w:r w:rsidR="006D76A4" w:rsidRPr="0086398B">
        <w:rPr>
          <w:rFonts w:ascii="Palatino Linotype" w:hAnsi="Palatino Linotype"/>
          <w:color w:val="1D2228"/>
          <w:sz w:val="22"/>
          <w:szCs w:val="22"/>
        </w:rPr>
        <w:t xml:space="preserve"> </w:t>
      </w:r>
      <w:r w:rsidR="003E5863" w:rsidRPr="0086398B">
        <w:rPr>
          <w:rFonts w:ascii="Palatino Linotype" w:hAnsi="Palatino Linotype"/>
          <w:color w:val="1D2228"/>
          <w:sz w:val="22"/>
          <w:szCs w:val="22"/>
        </w:rPr>
        <w:t xml:space="preserve">SFA sponsors should have already completed this form as part of other requirements. </w:t>
      </w:r>
    </w:p>
    <w:p w14:paraId="144892EE" w14:textId="77777777" w:rsidR="0086398B" w:rsidRPr="0086398B" w:rsidRDefault="0086398B">
      <w:pPr>
        <w:pStyle w:val="BodyText"/>
        <w:rPr>
          <w:rFonts w:ascii="Palatino Linotype" w:hAnsi="Palatino Linotype"/>
          <w:color w:val="1D2228"/>
          <w:sz w:val="10"/>
          <w:szCs w:val="10"/>
        </w:rPr>
      </w:pPr>
    </w:p>
    <w:p w14:paraId="423D0AB7" w14:textId="4D4681C1" w:rsidR="0086398B" w:rsidRPr="0086398B" w:rsidRDefault="00355665" w:rsidP="0086398B">
      <w:pPr>
        <w:pStyle w:val="BodyText"/>
        <w:ind w:left="709"/>
        <w:rPr>
          <w:rFonts w:ascii="Palatino Linotype" w:hAnsi="Palatino Linotype"/>
          <w:i/>
          <w:iCs/>
          <w:color w:val="1D2228"/>
          <w:sz w:val="22"/>
          <w:szCs w:val="22"/>
        </w:rPr>
      </w:pPr>
      <w:r w:rsidRPr="0086398B">
        <w:rPr>
          <w:rFonts w:ascii="Palatino Linotype" w:hAnsi="Palatino Linotype"/>
          <w:i/>
          <w:iCs/>
          <w:color w:val="1D2228"/>
          <w:sz w:val="22"/>
          <w:szCs w:val="22"/>
        </w:rPr>
        <w:t xml:space="preserve">Print the information below on your </w:t>
      </w:r>
      <w:r w:rsidR="00264446" w:rsidRPr="0086398B">
        <w:rPr>
          <w:rFonts w:ascii="Palatino Linotype" w:hAnsi="Palatino Linotype"/>
          <w:i/>
          <w:iCs/>
          <w:color w:val="1D2228"/>
          <w:sz w:val="22"/>
          <w:szCs w:val="22"/>
        </w:rPr>
        <w:t>Sponsor</w:t>
      </w:r>
      <w:r w:rsidRPr="0086398B">
        <w:rPr>
          <w:rFonts w:ascii="Palatino Linotype" w:hAnsi="Palatino Linotype"/>
          <w:i/>
          <w:iCs/>
          <w:color w:val="1D2228"/>
          <w:sz w:val="22"/>
          <w:szCs w:val="22"/>
        </w:rPr>
        <w:t xml:space="preserve"> letterhead and retain with your other </w:t>
      </w:r>
      <w:r w:rsidR="009056E8" w:rsidRPr="0086398B">
        <w:rPr>
          <w:rFonts w:ascii="Palatino Linotype" w:hAnsi="Palatino Linotype"/>
          <w:i/>
          <w:iCs/>
          <w:color w:val="1D2228"/>
          <w:sz w:val="22"/>
          <w:szCs w:val="22"/>
        </w:rPr>
        <w:t>procurement</w:t>
      </w:r>
      <w:r w:rsidRPr="0086398B">
        <w:rPr>
          <w:rFonts w:ascii="Palatino Linotype" w:hAnsi="Palatino Linotype"/>
          <w:i/>
          <w:iCs/>
          <w:color w:val="1D2228"/>
          <w:sz w:val="22"/>
          <w:szCs w:val="22"/>
        </w:rPr>
        <w:t xml:space="preserve"> documents. Please note, the</w:t>
      </w:r>
      <w:r w:rsidR="008565FE" w:rsidRPr="0086398B">
        <w:rPr>
          <w:rFonts w:ascii="Palatino Linotype" w:hAnsi="Palatino Linotype"/>
          <w:i/>
          <w:iCs/>
          <w:color w:val="1D2228"/>
          <w:sz w:val="22"/>
          <w:szCs w:val="22"/>
        </w:rPr>
        <w:t xml:space="preserve"> </w:t>
      </w:r>
      <w:r w:rsidRPr="0086398B">
        <w:rPr>
          <w:rFonts w:ascii="Palatino Linotype" w:hAnsi="Palatino Linotype"/>
          <w:i/>
          <w:iCs/>
          <w:color w:val="1D2228"/>
          <w:sz w:val="22"/>
          <w:szCs w:val="22"/>
        </w:rPr>
        <w:t>below documentation form works if you are establishing a micro-purchase threshold $50</w:t>
      </w:r>
      <w:r w:rsidR="007B48F7" w:rsidRPr="0086398B">
        <w:rPr>
          <w:rFonts w:ascii="Palatino Linotype" w:hAnsi="Palatino Linotype"/>
          <w:i/>
          <w:iCs/>
          <w:color w:val="1D2228"/>
          <w:sz w:val="22"/>
          <w:szCs w:val="22"/>
        </w:rPr>
        <w:t>,000</w:t>
      </w:r>
      <w:r w:rsidRPr="0086398B">
        <w:rPr>
          <w:rFonts w:ascii="Palatino Linotype" w:hAnsi="Palatino Linotype"/>
          <w:i/>
          <w:iCs/>
          <w:color w:val="1D2228"/>
          <w:sz w:val="22"/>
          <w:szCs w:val="22"/>
        </w:rPr>
        <w:t xml:space="preserve"> or less. To establish a micro-purchase threshold greater than $50</w:t>
      </w:r>
      <w:r w:rsidR="007B48F7" w:rsidRPr="0086398B">
        <w:rPr>
          <w:rFonts w:ascii="Palatino Linotype" w:hAnsi="Palatino Linotype"/>
          <w:i/>
          <w:iCs/>
          <w:color w:val="1D2228"/>
          <w:sz w:val="22"/>
          <w:szCs w:val="22"/>
        </w:rPr>
        <w:t>,000</w:t>
      </w:r>
      <w:r w:rsidRPr="0086398B">
        <w:rPr>
          <w:rFonts w:ascii="Palatino Linotype" w:hAnsi="Palatino Linotype"/>
          <w:i/>
          <w:iCs/>
          <w:color w:val="1D2228"/>
          <w:sz w:val="22"/>
          <w:szCs w:val="22"/>
        </w:rPr>
        <w:t>, consult the AOE.</w:t>
      </w:r>
      <w:r w:rsidR="0086398B">
        <w:rPr>
          <w:rFonts w:ascii="Palatino Linotype" w:hAnsi="Palatino Linotype"/>
          <w:i/>
          <w:iCs/>
          <w:color w:val="1D2228"/>
          <w:sz w:val="22"/>
          <w:szCs w:val="22"/>
        </w:rPr>
        <w:br/>
      </w:r>
    </w:p>
    <w:p w14:paraId="094817D2" w14:textId="0629E395" w:rsidR="00355665" w:rsidRPr="0086398B" w:rsidRDefault="00355665" w:rsidP="00355665">
      <w:pPr>
        <w:pStyle w:val="BodyText"/>
        <w:rPr>
          <w:rFonts w:ascii="Palatino Linotype" w:hAnsi="Palatino Linotype"/>
          <w:color w:val="1D2228"/>
          <w:sz w:val="22"/>
          <w:szCs w:val="22"/>
        </w:rPr>
      </w:pPr>
      <w:r w:rsidRPr="0086398B">
        <w:rPr>
          <w:rFonts w:ascii="Palatino Linotype" w:hAnsi="Palatino Linotype"/>
          <w:color w:val="1D2228"/>
          <w:sz w:val="22"/>
          <w:szCs w:val="22"/>
        </w:rPr>
        <w:t xml:space="preserve">Annual Federal Procurement Threshold Self-Certification </w:t>
      </w:r>
    </w:p>
    <w:p w14:paraId="2DC68F15" w14:textId="49DE1D97" w:rsidR="00355665" w:rsidRPr="0086398B" w:rsidRDefault="00355665" w:rsidP="00355665">
      <w:pPr>
        <w:pStyle w:val="BodyText"/>
        <w:rPr>
          <w:rFonts w:ascii="Palatino Linotype" w:hAnsi="Palatino Linotype"/>
          <w:color w:val="1D2228"/>
          <w:sz w:val="22"/>
          <w:szCs w:val="22"/>
        </w:rPr>
      </w:pPr>
      <w:r w:rsidRPr="0086398B">
        <w:rPr>
          <w:rFonts w:ascii="Palatino Linotype" w:hAnsi="Palatino Linotype"/>
          <w:color w:val="1D2228"/>
          <w:sz w:val="22"/>
          <w:szCs w:val="22"/>
        </w:rPr>
        <w:t xml:space="preserve">For the period of </w:t>
      </w:r>
      <w:r w:rsidR="00AA20DF" w:rsidRPr="0086398B">
        <w:rPr>
          <w:rFonts w:ascii="Palatino Linotype" w:hAnsi="Palatino Linotype"/>
          <w:color w:val="1D2228"/>
          <w:sz w:val="22"/>
          <w:szCs w:val="22"/>
        </w:rPr>
        <w:t>October 1</w:t>
      </w:r>
      <w:r w:rsidR="00AA20DF" w:rsidRPr="0086398B">
        <w:rPr>
          <w:rFonts w:ascii="Palatino Linotype" w:hAnsi="Palatino Linotype"/>
          <w:color w:val="1D2228"/>
          <w:sz w:val="22"/>
          <w:szCs w:val="22"/>
          <w:vertAlign w:val="superscript"/>
        </w:rPr>
        <w:t>st</w:t>
      </w:r>
      <w:r w:rsidRPr="0086398B">
        <w:rPr>
          <w:rFonts w:ascii="Palatino Linotype" w:hAnsi="Palatino Linotype"/>
          <w:color w:val="1D2228"/>
          <w:sz w:val="22"/>
          <w:szCs w:val="22"/>
        </w:rPr>
        <w:t>, ________ through</w:t>
      </w:r>
      <w:r w:rsidR="00B54B2A" w:rsidRPr="0086398B">
        <w:rPr>
          <w:rFonts w:ascii="Palatino Linotype" w:hAnsi="Palatino Linotype"/>
          <w:color w:val="1D2228"/>
          <w:sz w:val="22"/>
          <w:szCs w:val="22"/>
        </w:rPr>
        <w:t xml:space="preserve"> September 30</w:t>
      </w:r>
      <w:r w:rsidR="00B54B2A" w:rsidRPr="0086398B">
        <w:rPr>
          <w:rFonts w:ascii="Palatino Linotype" w:hAnsi="Palatino Linotype"/>
          <w:color w:val="1D2228"/>
          <w:sz w:val="22"/>
          <w:szCs w:val="22"/>
          <w:vertAlign w:val="superscript"/>
        </w:rPr>
        <w:t>th</w:t>
      </w:r>
      <w:r w:rsidRPr="0086398B">
        <w:rPr>
          <w:rFonts w:ascii="Palatino Linotype" w:hAnsi="Palatino Linotype"/>
          <w:color w:val="1D2228"/>
          <w:sz w:val="22"/>
          <w:szCs w:val="22"/>
        </w:rPr>
        <w:t>, _________.</w:t>
      </w:r>
    </w:p>
    <w:p w14:paraId="356BF085" w14:textId="77777777" w:rsidR="00355665" w:rsidRPr="0086398B" w:rsidRDefault="00355665" w:rsidP="00355665">
      <w:pPr>
        <w:pStyle w:val="BodyText"/>
        <w:rPr>
          <w:rFonts w:ascii="Palatino Linotype" w:hAnsi="Palatino Linotype"/>
          <w:color w:val="1D2228"/>
          <w:sz w:val="22"/>
          <w:szCs w:val="22"/>
        </w:rPr>
      </w:pPr>
      <w:r w:rsidRPr="0086398B">
        <w:rPr>
          <w:rFonts w:ascii="Palatino Linotype" w:hAnsi="Palatino Linotype"/>
          <w:color w:val="1D2228"/>
          <w:sz w:val="22"/>
          <w:szCs w:val="22"/>
        </w:rPr>
        <w:t xml:space="preserve">The micro-purchase threshold is set at $____________.  </w:t>
      </w:r>
    </w:p>
    <w:p w14:paraId="75B49E44" w14:textId="77777777" w:rsidR="0086398B" w:rsidRPr="0086398B" w:rsidRDefault="00355665" w:rsidP="00355665">
      <w:pPr>
        <w:pStyle w:val="BodyText"/>
        <w:rPr>
          <w:rFonts w:ascii="Palatino Linotype" w:hAnsi="Palatino Linotype"/>
          <w:color w:val="1D2228"/>
          <w:sz w:val="10"/>
          <w:szCs w:val="10"/>
        </w:rPr>
      </w:pPr>
      <w:r w:rsidRPr="0086398B">
        <w:rPr>
          <w:rFonts w:ascii="Palatino Linotype" w:hAnsi="Palatino Linotype"/>
          <w:color w:val="1D2228"/>
          <w:sz w:val="22"/>
          <w:szCs w:val="22"/>
        </w:rPr>
        <w:t>The small purchase threshold is set at $____________.</w:t>
      </w:r>
      <w:r w:rsidR="0086398B">
        <w:rPr>
          <w:rFonts w:ascii="Palatino Linotype" w:hAnsi="Palatino Linotype"/>
          <w:color w:val="1D2228"/>
          <w:sz w:val="22"/>
          <w:szCs w:val="22"/>
        </w:rPr>
        <w:br/>
      </w:r>
    </w:p>
    <w:p w14:paraId="0388C289" w14:textId="593F8A97" w:rsidR="00355665" w:rsidRPr="0086398B" w:rsidRDefault="00355665" w:rsidP="00355665">
      <w:pPr>
        <w:pStyle w:val="BodyText"/>
        <w:rPr>
          <w:rFonts w:ascii="Palatino Linotype" w:hAnsi="Palatino Linotype"/>
          <w:color w:val="1D2228"/>
          <w:sz w:val="22"/>
          <w:szCs w:val="22"/>
        </w:rPr>
      </w:pPr>
      <w:r w:rsidRPr="0086398B">
        <w:rPr>
          <w:rFonts w:ascii="Palatino Linotype" w:hAnsi="Palatino Linotype"/>
          <w:color w:val="1D2228"/>
          <w:sz w:val="22"/>
          <w:szCs w:val="22"/>
        </w:rPr>
        <w:t xml:space="preserve">The above thresholds are based on an analysis of internal controls, an evaluation of risk, and our documented procurement procedures.  </w:t>
      </w:r>
    </w:p>
    <w:p w14:paraId="309BB1F3" w14:textId="77777777" w:rsidR="00355665" w:rsidRPr="00355665" w:rsidRDefault="00355665" w:rsidP="00355665">
      <w:pPr>
        <w:pStyle w:val="BodyText"/>
        <w:rPr>
          <w:rFonts w:ascii="Helvetica Neue;Helvetica;Arial;" w:hAnsi="Helvetica Neue;Helvetica;Arial;" w:hint="eastAsia"/>
          <w:color w:val="1D2228"/>
          <w:sz w:val="20"/>
        </w:rPr>
      </w:pPr>
    </w:p>
    <w:p w14:paraId="6006893F" w14:textId="77777777" w:rsidR="00355665" w:rsidRPr="00355665" w:rsidRDefault="00355665" w:rsidP="00355665">
      <w:pPr>
        <w:pStyle w:val="BodyText"/>
        <w:rPr>
          <w:rFonts w:ascii="Helvetica Neue;Helvetica;Arial;" w:hAnsi="Helvetica Neue;Helvetica;Arial;" w:hint="eastAsia"/>
          <w:color w:val="1D2228"/>
          <w:sz w:val="20"/>
        </w:rPr>
      </w:pPr>
      <w:r w:rsidRPr="00355665">
        <w:rPr>
          <w:rFonts w:ascii="Helvetica Neue;Helvetica;Arial;" w:hAnsi="Helvetica Neue;Helvetica;Arial;" w:hint="eastAsia"/>
          <w:color w:val="1D2228"/>
          <w:sz w:val="20"/>
        </w:rPr>
        <w:t>___________________________________</w:t>
      </w:r>
      <w:r w:rsidRPr="00355665">
        <w:rPr>
          <w:rFonts w:ascii="Helvetica Neue;Helvetica;Arial;" w:hAnsi="Helvetica Neue;Helvetica;Arial;" w:hint="eastAsia"/>
          <w:color w:val="1D2228"/>
          <w:sz w:val="20"/>
        </w:rPr>
        <w:tab/>
      </w:r>
      <w:r w:rsidRPr="00355665">
        <w:rPr>
          <w:rFonts w:ascii="Helvetica Neue;Helvetica;Arial;" w:hAnsi="Helvetica Neue;Helvetica;Arial;" w:hint="eastAsia"/>
          <w:color w:val="1D2228"/>
          <w:sz w:val="20"/>
        </w:rPr>
        <w:tab/>
      </w:r>
      <w:r w:rsidRPr="00355665">
        <w:rPr>
          <w:rFonts w:ascii="Helvetica Neue;Helvetica;Arial;" w:hAnsi="Helvetica Neue;Helvetica;Arial;" w:hint="eastAsia"/>
          <w:color w:val="1D2228"/>
          <w:sz w:val="20"/>
        </w:rPr>
        <w:tab/>
        <w:t>________________________________</w:t>
      </w:r>
    </w:p>
    <w:p w14:paraId="1331CEED" w14:textId="1A109210" w:rsidR="0059297C" w:rsidRPr="00847C2A" w:rsidRDefault="007C3F66">
      <w:pPr>
        <w:pStyle w:val="BodyText"/>
        <w:rPr>
          <w:rFonts w:ascii="Franklin Gothic Demi Cond" w:hAnsi="Franklin Gothic Demi Cond"/>
          <w:color w:val="1D2228"/>
        </w:rPr>
      </w:pPr>
      <w:r w:rsidRPr="00847C2A">
        <w:rPr>
          <w:rFonts w:ascii="Franklin Gothic Demi Cond" w:hAnsi="Franklin Gothic Demi Cond"/>
          <w:color w:val="1D2228"/>
        </w:rPr>
        <w:t>Sponsor Representative</w:t>
      </w:r>
      <w:r w:rsidR="00355665" w:rsidRPr="00847C2A">
        <w:rPr>
          <w:rFonts w:ascii="Franklin Gothic Demi Cond" w:hAnsi="Franklin Gothic Demi Cond"/>
          <w:color w:val="1D2228"/>
        </w:rPr>
        <w:t xml:space="preserve"> Signature</w:t>
      </w:r>
      <w:r w:rsidR="00355665" w:rsidRPr="00847C2A">
        <w:rPr>
          <w:rFonts w:ascii="Franklin Gothic Demi Cond" w:hAnsi="Franklin Gothic Demi Cond"/>
          <w:color w:val="1D2228"/>
        </w:rPr>
        <w:tab/>
      </w:r>
      <w:r w:rsidR="00355665" w:rsidRPr="00847C2A">
        <w:rPr>
          <w:rFonts w:ascii="Franklin Gothic Demi Cond" w:hAnsi="Franklin Gothic Demi Cond"/>
          <w:color w:val="1D2228"/>
        </w:rPr>
        <w:tab/>
      </w:r>
      <w:r w:rsidR="00355665" w:rsidRPr="00847C2A">
        <w:rPr>
          <w:rFonts w:ascii="Franklin Gothic Demi Cond" w:hAnsi="Franklin Gothic Demi Cond"/>
          <w:color w:val="1D2228"/>
        </w:rPr>
        <w:tab/>
      </w:r>
      <w:r w:rsidR="00355665" w:rsidRPr="00847C2A">
        <w:rPr>
          <w:rFonts w:ascii="Franklin Gothic Demi Cond" w:hAnsi="Franklin Gothic Demi Cond"/>
          <w:color w:val="1D2228"/>
        </w:rPr>
        <w:tab/>
        <w:t>Date</w:t>
      </w:r>
    </w:p>
    <w:p w14:paraId="0AD06FCC" w14:textId="3F469E40" w:rsidR="003C1FDB" w:rsidRPr="00847C2A" w:rsidRDefault="007B48F7">
      <w:pPr>
        <w:pStyle w:val="BodyText"/>
        <w:rPr>
          <w:rFonts w:ascii="Franklin Gothic Demi Cond" w:hAnsi="Franklin Gothic Demi Cond"/>
          <w:sz w:val="28"/>
          <w:szCs w:val="28"/>
        </w:rPr>
      </w:pPr>
      <w:r w:rsidRPr="00847C2A">
        <w:rPr>
          <w:rFonts w:ascii="Franklin Gothic Demi Cond" w:hAnsi="Franklin Gothic Demi Cond"/>
          <w:color w:val="1D2228"/>
          <w:sz w:val="28"/>
          <w:szCs w:val="28"/>
        </w:rPr>
        <w:lastRenderedPageBreak/>
        <w:t>Applicable Federal regulations are as follows:</w:t>
      </w:r>
    </w:p>
    <w:p w14:paraId="16D042E0"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b/>
          <w:color w:val="1D2228"/>
          <w:sz w:val="22"/>
          <w:szCs w:val="22"/>
        </w:rPr>
        <w:t>Micro-purchase: 2 CFR 200.320(a)(1)(iii)-(v)</w:t>
      </w:r>
    </w:p>
    <w:p w14:paraId="4EA23B8E"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(iii) Micro-purchase thresholds.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paragraphs (a)(1)(iv) and (v) of this section.</w:t>
      </w:r>
    </w:p>
    <w:p w14:paraId="40D3888F"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 xml:space="preserve">(iv) Non-Federal entity </w:t>
      </w:r>
      <w:proofErr w:type="gramStart"/>
      <w:r w:rsidRPr="001A7C8A">
        <w:rPr>
          <w:rFonts w:ascii="Palatino Linotype" w:hAnsi="Palatino Linotype"/>
          <w:i/>
          <w:color w:val="1D2228"/>
          <w:sz w:val="22"/>
          <w:szCs w:val="22"/>
        </w:rPr>
        <w:t>increase</w:t>
      </w:r>
      <w:proofErr w:type="gramEnd"/>
      <w:r w:rsidRPr="001A7C8A">
        <w:rPr>
          <w:rFonts w:ascii="Palatino Linotype" w:hAnsi="Palatino Linotype"/>
          <w:i/>
          <w:color w:val="1D2228"/>
          <w:sz w:val="22"/>
          <w:szCs w:val="22"/>
        </w:rPr>
        <w:t xml:space="preserve"> to the micro-purchase threshold up to $50,000.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§200.334. The self-certification must include a justification, clear identification of the threshold, and supporting documentation of any of the following:</w:t>
      </w:r>
    </w:p>
    <w:p w14:paraId="0E2AA4DA"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(A) A qualification as a low-risk auditee, in accordance with the criteria in §200.520 for the most recent audit;</w:t>
      </w:r>
    </w:p>
    <w:p w14:paraId="1502FCF0"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(B) An annual internal institutional risk assessment to identify, mitigate, and manage financial risks; or,</w:t>
      </w:r>
    </w:p>
    <w:p w14:paraId="2EAE5071"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(C) For public institutions, a higher threshold consistent with State law.</w:t>
      </w:r>
    </w:p>
    <w:p w14:paraId="7050BCF0"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i/>
          <w:color w:val="1D2228"/>
          <w:sz w:val="22"/>
          <w:szCs w:val="22"/>
        </w:rPr>
        <w:t xml:space="preserve">(v) Non-Federal entity </w:t>
      </w:r>
      <w:proofErr w:type="gramStart"/>
      <w:r w:rsidRPr="001A7C8A">
        <w:rPr>
          <w:rFonts w:ascii="Palatino Linotype" w:hAnsi="Palatino Linotype"/>
          <w:i/>
          <w:color w:val="1D2228"/>
          <w:sz w:val="22"/>
          <w:szCs w:val="22"/>
        </w:rPr>
        <w:t>increase</w:t>
      </w:r>
      <w:proofErr w:type="gramEnd"/>
      <w:r w:rsidRPr="001A7C8A">
        <w:rPr>
          <w:rFonts w:ascii="Palatino Linotype" w:hAnsi="Palatino Linotype"/>
          <w:i/>
          <w:color w:val="1D2228"/>
          <w:sz w:val="22"/>
          <w:szCs w:val="22"/>
        </w:rPr>
        <w:t xml:space="preserve"> to the micro-purchase threshold over $50,000. Micro-purchase thresholds higher than $50,000 must be approved by the cognizant agency for indirect costs. The non-federal entity must submit a request with the requirements included in paragraph (a)(1)(iv) of this section. The increased threshold is valid until there is a change in status in which the justification was approved.</w:t>
      </w:r>
    </w:p>
    <w:p w14:paraId="646D44BD" w14:textId="77777777" w:rsidR="003C1FDB" w:rsidRPr="001A7C8A" w:rsidRDefault="007B48F7">
      <w:pPr>
        <w:pStyle w:val="BodyText"/>
        <w:rPr>
          <w:rFonts w:ascii="Palatino Linotype" w:hAnsi="Palatino Linotype"/>
          <w:color w:val="1D2228"/>
          <w:sz w:val="22"/>
          <w:szCs w:val="22"/>
        </w:rPr>
      </w:pPr>
      <w:r w:rsidRPr="001A7C8A">
        <w:rPr>
          <w:rFonts w:ascii="Palatino Linotype" w:hAnsi="Palatino Linotype"/>
          <w:b/>
          <w:color w:val="1D2228"/>
          <w:sz w:val="22"/>
          <w:szCs w:val="22"/>
        </w:rPr>
        <w:t>Small Purchase 2 CFR 200.320(a)(2)(ii)</w:t>
      </w:r>
    </w:p>
    <w:p w14:paraId="4EF2E2BF" w14:textId="7174C752" w:rsidR="003C1FDB" w:rsidRPr="001A7C8A" w:rsidRDefault="007B48F7">
      <w:pPr>
        <w:pStyle w:val="BodyText"/>
        <w:rPr>
          <w:rFonts w:ascii="Palatino Linotype" w:hAnsi="Palatino Linotype"/>
          <w:i/>
          <w:color w:val="000000"/>
          <w:sz w:val="22"/>
          <w:szCs w:val="22"/>
        </w:rPr>
      </w:pPr>
      <w:r w:rsidRPr="001A7C8A">
        <w:rPr>
          <w:rFonts w:ascii="Palatino Linotype" w:hAnsi="Palatino Linotype"/>
          <w:color w:val="000000"/>
          <w:sz w:val="22"/>
          <w:szCs w:val="22"/>
          <w:highlight w:val="white"/>
        </w:rPr>
        <w:t>(ii) </w:t>
      </w:r>
      <w:r w:rsidRPr="001A7C8A">
        <w:rPr>
          <w:rFonts w:ascii="Palatino Linotype" w:hAnsi="Palatino Linotype"/>
          <w:i/>
          <w:color w:val="000000"/>
          <w:sz w:val="22"/>
          <w:szCs w:val="22"/>
          <w:highlight w:val="white"/>
        </w:rPr>
        <w:t>Simplified acquisition thresholds.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w:t>
      </w:r>
    </w:p>
    <w:p w14:paraId="774A8E80" w14:textId="77777777" w:rsidR="00A15D3F" w:rsidRPr="001A7C8A" w:rsidRDefault="00A15D3F">
      <w:pPr>
        <w:pStyle w:val="BodyText"/>
        <w:rPr>
          <w:rFonts w:hint="eastAsia"/>
          <w:sz w:val="22"/>
          <w:szCs w:val="22"/>
        </w:rPr>
      </w:pPr>
    </w:p>
    <w:p w14:paraId="66E3F84B" w14:textId="77777777" w:rsidR="00D74674" w:rsidRPr="001A7C8A" w:rsidRDefault="00D74674">
      <w:pPr>
        <w:pStyle w:val="BodyText"/>
        <w:rPr>
          <w:rFonts w:hint="eastAsia"/>
          <w:sz w:val="22"/>
          <w:szCs w:val="22"/>
        </w:rPr>
      </w:pPr>
    </w:p>
    <w:p w14:paraId="25EB69AF" w14:textId="77777777" w:rsidR="00D74674" w:rsidRPr="001A7C8A" w:rsidRDefault="00D74674">
      <w:pPr>
        <w:pStyle w:val="BodyText"/>
        <w:rPr>
          <w:rFonts w:hint="eastAsia"/>
          <w:sz w:val="22"/>
          <w:szCs w:val="22"/>
        </w:rPr>
      </w:pPr>
    </w:p>
    <w:p w14:paraId="37D48AAA" w14:textId="77777777" w:rsidR="00D74674" w:rsidRPr="001A7C8A" w:rsidRDefault="00D74674">
      <w:pPr>
        <w:pStyle w:val="BodyText"/>
        <w:rPr>
          <w:rFonts w:ascii="Palatino Linotype" w:hAnsi="Palatino Linotype"/>
          <w:sz w:val="22"/>
          <w:szCs w:val="22"/>
        </w:rPr>
      </w:pPr>
    </w:p>
    <w:p w14:paraId="5C5E14B0" w14:textId="77777777" w:rsidR="00D74674" w:rsidRPr="001A7C8A" w:rsidRDefault="00D74674">
      <w:pPr>
        <w:pStyle w:val="BodyText"/>
        <w:rPr>
          <w:rFonts w:ascii="Palatino Linotype" w:hAnsi="Palatino Linotype"/>
          <w:sz w:val="22"/>
          <w:szCs w:val="22"/>
        </w:rPr>
      </w:pPr>
    </w:p>
    <w:p w14:paraId="31488F8D" w14:textId="77777777" w:rsidR="00D74674" w:rsidRPr="001A7C8A" w:rsidRDefault="00D74674">
      <w:pPr>
        <w:pStyle w:val="BodyText"/>
        <w:rPr>
          <w:rFonts w:ascii="Palatino Linotype" w:hAnsi="Palatino Linotype"/>
          <w:sz w:val="22"/>
          <w:szCs w:val="22"/>
        </w:rPr>
      </w:pPr>
    </w:p>
    <w:p w14:paraId="76FDE46E" w14:textId="5C1F523E" w:rsidR="00D74674" w:rsidRPr="001A7C8A" w:rsidRDefault="00D74674" w:rsidP="00D74674">
      <w:pPr>
        <w:pStyle w:val="BodyText"/>
        <w:jc w:val="center"/>
        <w:rPr>
          <w:rFonts w:ascii="Palatino Linotype" w:hAnsi="Palatino Linotype"/>
          <w:sz w:val="22"/>
          <w:szCs w:val="22"/>
        </w:rPr>
      </w:pPr>
      <w:r w:rsidRPr="001A7C8A">
        <w:rPr>
          <w:rFonts w:ascii="Palatino Linotype" w:hAnsi="Palatino Linotype"/>
          <w:sz w:val="22"/>
          <w:szCs w:val="22"/>
        </w:rPr>
        <w:t>This is institution is an equal opportunity provider.</w:t>
      </w:r>
    </w:p>
    <w:sectPr w:rsidR="00D74674" w:rsidRPr="001A7C8A" w:rsidSect="00070514">
      <w:pgSz w:w="12240" w:h="15840"/>
      <w:pgMar w:top="720" w:right="1440" w:bottom="360" w:left="1440" w:header="1134"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0C95" w14:textId="77777777" w:rsidR="006D70A1" w:rsidRDefault="006D70A1">
      <w:pPr>
        <w:rPr>
          <w:rFonts w:hint="eastAsia"/>
        </w:rPr>
      </w:pPr>
      <w:r>
        <w:separator/>
      </w:r>
    </w:p>
  </w:endnote>
  <w:endnote w:type="continuationSeparator" w:id="0">
    <w:p w14:paraId="046BE1FD" w14:textId="77777777" w:rsidR="006D70A1" w:rsidRDefault="006D70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Helvetica;Arial;">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17D7" w14:textId="77777777" w:rsidR="006D70A1" w:rsidRDefault="006D70A1">
      <w:pPr>
        <w:rPr>
          <w:rFonts w:hint="eastAsia"/>
        </w:rPr>
      </w:pPr>
      <w:r>
        <w:separator/>
      </w:r>
    </w:p>
  </w:footnote>
  <w:footnote w:type="continuationSeparator" w:id="0">
    <w:p w14:paraId="16436310" w14:textId="77777777" w:rsidR="006D70A1" w:rsidRDefault="006D70A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3E9"/>
    <w:multiLevelType w:val="hybridMultilevel"/>
    <w:tmpl w:val="7638C2D8"/>
    <w:lvl w:ilvl="0" w:tplc="A91C25DA">
      <w:start w:val="2021"/>
      <w:numFmt w:val="bullet"/>
      <w:lvlText w:val=""/>
      <w:lvlJc w:val="left"/>
      <w:pPr>
        <w:ind w:left="1065" w:hanging="360"/>
      </w:pPr>
      <w:rPr>
        <w:rFonts w:ascii="Symbol" w:eastAsia="NSimSun" w:hAnsi="Symbol" w:cs="Lucida San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23CF655A"/>
    <w:multiLevelType w:val="hybridMultilevel"/>
    <w:tmpl w:val="393E6B14"/>
    <w:lvl w:ilvl="0" w:tplc="68F4D746">
      <w:start w:val="2021"/>
      <w:numFmt w:val="bullet"/>
      <w:lvlText w:val=""/>
      <w:lvlJc w:val="left"/>
      <w:pPr>
        <w:ind w:left="720" w:hanging="360"/>
      </w:pPr>
      <w:rPr>
        <w:rFonts w:ascii="Symbol" w:eastAsia="N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188867">
    <w:abstractNumId w:val="0"/>
  </w:num>
  <w:num w:numId="2" w16cid:durableId="210183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DB"/>
    <w:rsid w:val="00022DAE"/>
    <w:rsid w:val="00070514"/>
    <w:rsid w:val="00154E49"/>
    <w:rsid w:val="001A27F1"/>
    <w:rsid w:val="001A7C8A"/>
    <w:rsid w:val="001E6B20"/>
    <w:rsid w:val="002146E5"/>
    <w:rsid w:val="00264446"/>
    <w:rsid w:val="002D1F43"/>
    <w:rsid w:val="0034156D"/>
    <w:rsid w:val="00355665"/>
    <w:rsid w:val="003C1FDB"/>
    <w:rsid w:val="003E5863"/>
    <w:rsid w:val="004307B9"/>
    <w:rsid w:val="00457A4D"/>
    <w:rsid w:val="0059297C"/>
    <w:rsid w:val="005B47F0"/>
    <w:rsid w:val="006D70A1"/>
    <w:rsid w:val="006D76A4"/>
    <w:rsid w:val="00706D1C"/>
    <w:rsid w:val="007B48F7"/>
    <w:rsid w:val="007C3F66"/>
    <w:rsid w:val="007E5C05"/>
    <w:rsid w:val="00847C2A"/>
    <w:rsid w:val="008565FE"/>
    <w:rsid w:val="0086398B"/>
    <w:rsid w:val="009056E8"/>
    <w:rsid w:val="00980FE6"/>
    <w:rsid w:val="00A15D3F"/>
    <w:rsid w:val="00A71D73"/>
    <w:rsid w:val="00AA20DF"/>
    <w:rsid w:val="00AC1A59"/>
    <w:rsid w:val="00B07A3A"/>
    <w:rsid w:val="00B54B2A"/>
    <w:rsid w:val="00B776B3"/>
    <w:rsid w:val="00B9752D"/>
    <w:rsid w:val="00BB6872"/>
    <w:rsid w:val="00C5353E"/>
    <w:rsid w:val="00CF0260"/>
    <w:rsid w:val="00D06B98"/>
    <w:rsid w:val="00D74674"/>
    <w:rsid w:val="00DA2474"/>
    <w:rsid w:val="00DF178C"/>
    <w:rsid w:val="00EE735A"/>
    <w:rsid w:val="00F00D9A"/>
    <w:rsid w:val="00FB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2974"/>
  <w15:docId w15:val="{D2FD4F67-1646-4079-824A-0C263D99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Footer">
    <w:name w:val="footer"/>
    <w:basedOn w:val="Normal"/>
    <w:link w:val="FooterChar"/>
    <w:uiPriority w:val="99"/>
    <w:unhideWhenUsed/>
    <w:rsid w:val="00FB2B3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B2B3D"/>
    <w:rPr>
      <w:rFonts w:cs="Mangal"/>
      <w:szCs w:val="21"/>
    </w:rPr>
  </w:style>
  <w:style w:type="character" w:styleId="Strong">
    <w:name w:val="Strong"/>
    <w:basedOn w:val="DefaultParagraphFont"/>
    <w:uiPriority w:val="22"/>
    <w:qFormat/>
    <w:rsid w:val="00070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7" ma:contentTypeDescription="Create a new document." ma:contentTypeScope="" ma:versionID="c1f96c4383d7d421e2aa661b017536ed">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85471327a0a53863377b87bf5d1b6b6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6A3DE-B1A2-4621-A820-713ECE0A3803}">
  <ds:schemaRefs>
    <ds:schemaRef ds:uri="http://schemas.microsoft.com/sharepoint/v3/contenttype/forms"/>
  </ds:schemaRefs>
</ds:datastoreItem>
</file>

<file path=customXml/itemProps2.xml><?xml version="1.0" encoding="utf-8"?>
<ds:datastoreItem xmlns:ds="http://schemas.openxmlformats.org/officeDocument/2006/customXml" ds:itemID="{F771A129-10EF-4AE3-A557-997FD1C0729F}">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A1A0DE54-67FF-4339-A405-53130A05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SFSP Annual Procurement Threshold Determinations</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Annual Procurement Threshold Determinations</dc:title>
  <dc:subject/>
  <dc:creator>Vermont Agency of Education</dc:creator>
  <dc:description/>
  <cp:lastModifiedBy>Connizzo, Kate</cp:lastModifiedBy>
  <cp:revision>5</cp:revision>
  <dcterms:created xsi:type="dcterms:W3CDTF">2023-03-16T16:09:00Z</dcterms:created>
  <dcterms:modified xsi:type="dcterms:W3CDTF">2023-03-22T17:57:00Z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