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F497" w14:textId="3F3F4FF1" w:rsidR="00147A67" w:rsidRPr="004062C7" w:rsidRDefault="00926F4B" w:rsidP="00147A67">
      <w:pPr>
        <w:pStyle w:val="Title"/>
      </w:pPr>
      <w:r>
        <w:t>Quality Criteria for Performance Assessments</w:t>
      </w:r>
      <w:r w:rsidR="005C0FB7">
        <w:t xml:space="preserve"> </w:t>
      </w:r>
    </w:p>
    <w:p w14:paraId="40EA92A7" w14:textId="532F2C82" w:rsidR="003E5EBC" w:rsidRDefault="003E5EBC" w:rsidP="00554932">
      <w:pPr>
        <w:pBdr>
          <w:top w:val="nil"/>
          <w:left w:val="nil"/>
          <w:bottom w:val="nil"/>
          <w:right w:val="nil"/>
          <w:between w:val="nil"/>
        </w:pBdr>
        <w:spacing w:after="0"/>
        <w:rPr>
          <w:rFonts w:eastAsia="Palatino Linotype" w:cs="Palatino Linotype"/>
        </w:rPr>
      </w:pPr>
      <w:r w:rsidRPr="2DCA1921">
        <w:rPr>
          <w:rFonts w:eastAsia="Palatino Linotype" w:cs="Palatino Linotype"/>
        </w:rPr>
        <w:t xml:space="preserve">This tool provides </w:t>
      </w:r>
      <w:r>
        <w:rPr>
          <w:rFonts w:eastAsia="Palatino Linotype" w:cs="Palatino Linotype"/>
        </w:rPr>
        <w:t xml:space="preserve">quality criteria for authentic </w:t>
      </w:r>
      <w:r w:rsidRPr="2DCA1921">
        <w:rPr>
          <w:rFonts w:eastAsia="Palatino Linotype" w:cs="Palatino Linotype"/>
        </w:rPr>
        <w:t xml:space="preserve">performance assessments. It can be used in conjunction with the Agency of Education’s </w:t>
      </w:r>
      <w:hyperlink r:id="rId11" w:history="1">
        <w:r w:rsidRPr="000D4F47">
          <w:rPr>
            <w:rStyle w:val="Hyperlink"/>
            <w:rFonts w:eastAsia="Palatino Linotype" w:cs="Palatino Linotype"/>
          </w:rPr>
          <w:t>Interdisciplinary Performance Assessment Template</w:t>
        </w:r>
      </w:hyperlink>
      <w:r w:rsidRPr="492BCDA1">
        <w:rPr>
          <w:rFonts w:eastAsia="Palatino Linotype" w:cs="Palatino Linotype"/>
        </w:rPr>
        <w:t>. As such, the criteria below are divided into two major categories: assessment plan criteria and design element criteria.</w:t>
      </w:r>
      <w:r>
        <w:rPr>
          <w:rFonts w:eastAsia="Palatino Linotype" w:cs="Palatino Linotype"/>
        </w:rPr>
        <w:t xml:space="preserve"> Educators can use the criteria to support their understanding of the elements on the performance assessment template, reflect on the design and delivery of performance assessments they have written, or identify effective qualities of performance assessments written by others. Teachers are also encouraged to consider this tool for peer feedback or self-reflection, using the 1-3 scale and Teacher Reflections box to guide their thinking. </w:t>
      </w:r>
    </w:p>
    <w:p w14:paraId="53CB50FD" w14:textId="77777777" w:rsidR="00554932" w:rsidRDefault="00554932" w:rsidP="00554932">
      <w:pPr>
        <w:pBdr>
          <w:top w:val="nil"/>
          <w:left w:val="nil"/>
          <w:bottom w:val="nil"/>
          <w:right w:val="nil"/>
          <w:between w:val="nil"/>
        </w:pBdr>
        <w:spacing w:before="0" w:after="0"/>
        <w:rPr>
          <w:rFonts w:eastAsia="Palatino Linotype" w:cs="Palatino Linotype"/>
        </w:rPr>
      </w:pPr>
    </w:p>
    <w:p w14:paraId="2BBA47A8" w14:textId="71950D33" w:rsidR="003E5EBC" w:rsidRDefault="003E5EBC" w:rsidP="00A5108F">
      <w:pPr>
        <w:pBdr>
          <w:top w:val="nil"/>
          <w:left w:val="nil"/>
          <w:bottom w:val="nil"/>
          <w:right w:val="nil"/>
          <w:between w:val="nil"/>
        </w:pBdr>
        <w:spacing w:before="0" w:after="240"/>
        <w:ind w:right="-720"/>
        <w:rPr>
          <w:rFonts w:eastAsia="Palatino Linotype" w:cs="Palatino Linotype"/>
        </w:rPr>
      </w:pPr>
      <w:r w:rsidRPr="007126E4">
        <w:rPr>
          <w:rFonts w:eastAsia="Palatino Linotype" w:cs="Palatino Linotype"/>
          <w:b/>
          <w:bCs w:val="0"/>
        </w:rPr>
        <w:t>1</w:t>
      </w:r>
      <w:r>
        <w:rPr>
          <w:rFonts w:eastAsia="Palatino Linotype" w:cs="Palatino Linotype"/>
        </w:rPr>
        <w:t xml:space="preserve">: This is not evident; </w:t>
      </w:r>
      <w:r w:rsidRPr="007126E4">
        <w:rPr>
          <w:rFonts w:eastAsia="Palatino Linotype" w:cs="Palatino Linotype"/>
          <w:b/>
          <w:bCs w:val="0"/>
        </w:rPr>
        <w:t>2:</w:t>
      </w:r>
      <w:r>
        <w:rPr>
          <w:rFonts w:eastAsia="Palatino Linotype" w:cs="Palatino Linotype"/>
        </w:rPr>
        <w:t xml:space="preserve"> This is somewhat evident but needs refinement; </w:t>
      </w:r>
      <w:r>
        <w:rPr>
          <w:rFonts w:eastAsia="Palatino Linotype" w:cs="Palatino Linotype"/>
          <w:b/>
          <w:bCs w:val="0"/>
        </w:rPr>
        <w:t xml:space="preserve">3: </w:t>
      </w:r>
      <w:r>
        <w:rPr>
          <w:rFonts w:eastAsia="Palatino Linotype" w:cs="Palatino Linotype"/>
        </w:rPr>
        <w:t>This is evident and adds to the rigor of the assessment.</w:t>
      </w:r>
    </w:p>
    <w:tbl>
      <w:tblPr>
        <w:tblW w:w="144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90"/>
        <w:gridCol w:w="810"/>
      </w:tblGrid>
      <w:tr w:rsidR="00DE6086" w:rsidRPr="00E713FD" w14:paraId="02DD74FF" w14:textId="77777777" w:rsidTr="00CE7F98">
        <w:trPr>
          <w:tblHeader/>
        </w:trPr>
        <w:tc>
          <w:tcPr>
            <w:tcW w:w="13590" w:type="dxa"/>
            <w:tcBorders>
              <w:bottom w:val="single" w:sz="4" w:space="0" w:color="000000" w:themeColor="text1"/>
            </w:tcBorders>
            <w:shd w:val="clear" w:color="auto" w:fill="263F6A"/>
            <w:vAlign w:val="center"/>
          </w:tcPr>
          <w:p w14:paraId="33210DDC" w14:textId="7A48512A" w:rsidR="00DE6086" w:rsidRPr="00273454" w:rsidRDefault="00DE6086" w:rsidP="00CE7F98">
            <w:pPr>
              <w:pBdr>
                <w:top w:val="nil"/>
                <w:left w:val="nil"/>
                <w:bottom w:val="nil"/>
                <w:right w:val="nil"/>
                <w:between w:val="nil"/>
              </w:pBdr>
              <w:jc w:val="center"/>
              <w:rPr>
                <w:rFonts w:eastAsia="Source Sans Pro" w:cs="Source Sans Pro"/>
                <w:b/>
                <w:color w:val="FFFFFF" w:themeColor="background1"/>
                <w:sz w:val="24"/>
                <w:szCs w:val="24"/>
              </w:rPr>
            </w:pPr>
            <w:bookmarkStart w:id="0" w:name="_Hlk1732939"/>
            <w:r>
              <w:rPr>
                <w:rFonts w:eastAsia="Source Sans Pro" w:cs="Source Sans Pro"/>
                <w:b/>
                <w:color w:val="FFFFFF" w:themeColor="background1"/>
                <w:sz w:val="24"/>
                <w:szCs w:val="24"/>
              </w:rPr>
              <w:t xml:space="preserve">Design Elements </w:t>
            </w:r>
            <w:r w:rsidRPr="00273454">
              <w:rPr>
                <w:rFonts w:eastAsia="Source Sans Pro" w:cs="Source Sans Pro"/>
                <w:b/>
                <w:color w:val="FFFFFF" w:themeColor="background1"/>
                <w:sz w:val="24"/>
                <w:szCs w:val="24"/>
              </w:rPr>
              <w:t>Criteria</w:t>
            </w:r>
          </w:p>
        </w:tc>
        <w:tc>
          <w:tcPr>
            <w:tcW w:w="810" w:type="dxa"/>
            <w:tcBorders>
              <w:bottom w:val="single" w:sz="4" w:space="0" w:color="000000" w:themeColor="text1"/>
            </w:tcBorders>
            <w:shd w:val="clear" w:color="auto" w:fill="263F6A"/>
            <w:vAlign w:val="center"/>
          </w:tcPr>
          <w:p w14:paraId="161D7350" w14:textId="77777777" w:rsidR="00DE6086" w:rsidRPr="00273454" w:rsidRDefault="00DE6086" w:rsidP="00CE7F98">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t>1-3</w:t>
            </w:r>
          </w:p>
        </w:tc>
      </w:tr>
      <w:tr w:rsidR="00DE6086" w:rsidRPr="00E713FD" w14:paraId="787FD164" w14:textId="77777777" w:rsidTr="00F15BC2">
        <w:tc>
          <w:tcPr>
            <w:tcW w:w="13590" w:type="dxa"/>
            <w:shd w:val="clear" w:color="auto" w:fill="DBE5F1" w:themeFill="accent1" w:themeFillTint="33"/>
            <w:vAlign w:val="center"/>
          </w:tcPr>
          <w:p w14:paraId="04DDFF35" w14:textId="77777777" w:rsidR="00DE6086" w:rsidRPr="00AA6020" w:rsidRDefault="00DE6086" w:rsidP="00DE6086">
            <w:pPr>
              <w:pBdr>
                <w:top w:val="nil"/>
                <w:left w:val="nil"/>
                <w:bottom w:val="nil"/>
                <w:right w:val="nil"/>
                <w:between w:val="nil"/>
              </w:pBdr>
              <w:shd w:val="clear" w:color="auto" w:fill="DBE5F1" w:themeFill="accent1" w:themeFillTint="33"/>
              <w:spacing w:before="80" w:after="80"/>
              <w:rPr>
                <w:rFonts w:eastAsia="Palatino Linotype" w:cs="Palatino Linotype"/>
                <w:b/>
                <w:bCs w:val="0"/>
                <w:color w:val="000000"/>
              </w:rPr>
            </w:pPr>
            <w:r w:rsidRPr="00AA6020">
              <w:rPr>
                <w:rFonts w:eastAsia="Palatino Linotype" w:cs="Palatino Linotype"/>
                <w:b/>
                <w:bCs w:val="0"/>
                <w:color w:val="000000"/>
              </w:rPr>
              <w:t>1.  Integration</w:t>
            </w:r>
          </w:p>
        </w:tc>
        <w:tc>
          <w:tcPr>
            <w:tcW w:w="810" w:type="dxa"/>
            <w:shd w:val="clear" w:color="auto" w:fill="DBE5F1" w:themeFill="accent1" w:themeFillTint="33"/>
            <w:vAlign w:val="center"/>
          </w:tcPr>
          <w:p w14:paraId="539439F2" w14:textId="77777777" w:rsidR="00DE6086" w:rsidRPr="00E713FD" w:rsidRDefault="00DE6086" w:rsidP="00F15BC2">
            <w:pPr>
              <w:pBdr>
                <w:top w:val="nil"/>
                <w:left w:val="nil"/>
                <w:bottom w:val="nil"/>
                <w:right w:val="nil"/>
                <w:between w:val="nil"/>
              </w:pBdr>
              <w:shd w:val="clear" w:color="auto" w:fill="DBE5F1" w:themeFill="accent1" w:themeFillTint="33"/>
              <w:spacing w:before="80" w:after="80"/>
              <w:rPr>
                <w:rFonts w:eastAsia="Palatino Linotype" w:cs="Palatino Linotype"/>
                <w:b/>
                <w:color w:val="000000"/>
              </w:rPr>
            </w:pPr>
          </w:p>
        </w:tc>
      </w:tr>
      <w:bookmarkEnd w:id="0"/>
      <w:tr w:rsidR="00DE6086" w:rsidRPr="00E713FD" w14:paraId="19448BFD" w14:textId="77777777" w:rsidTr="00CE7F98">
        <w:tc>
          <w:tcPr>
            <w:tcW w:w="13590" w:type="dxa"/>
            <w:tcBorders>
              <w:bottom w:val="single" w:sz="4" w:space="0" w:color="000000" w:themeColor="text1"/>
            </w:tcBorders>
            <w:vAlign w:val="center"/>
          </w:tcPr>
          <w:p w14:paraId="5A90EE1A" w14:textId="77777777" w:rsidR="00DE6086" w:rsidRPr="00E713FD" w:rsidRDefault="00DE6086" w:rsidP="00CE7F98">
            <w:pPr>
              <w:widowControl w:val="0"/>
              <w:pBdr>
                <w:top w:val="nil"/>
                <w:left w:val="nil"/>
                <w:bottom w:val="nil"/>
                <w:right w:val="nil"/>
                <w:between w:val="nil"/>
              </w:pBdr>
              <w:spacing w:before="80" w:after="80"/>
              <w:rPr>
                <w:rFonts w:eastAsia="Palatino Linotype" w:cs="Palatino Linotype"/>
                <w:color w:val="000000"/>
              </w:rPr>
            </w:pPr>
            <w:r w:rsidRPr="21658F74">
              <w:rPr>
                <w:rFonts w:eastAsia="Palatino Linotype" w:cs="Palatino Linotype"/>
                <w:color w:val="000000" w:themeColor="text1"/>
              </w:rPr>
              <w:t xml:space="preserve">The performance assessment integrates at least two content standards/proficiencies and transferable skills.  </w:t>
            </w:r>
          </w:p>
        </w:tc>
        <w:tc>
          <w:tcPr>
            <w:tcW w:w="810" w:type="dxa"/>
            <w:tcBorders>
              <w:bottom w:val="single" w:sz="4" w:space="0" w:color="000000" w:themeColor="text1"/>
            </w:tcBorders>
            <w:vAlign w:val="center"/>
          </w:tcPr>
          <w:p w14:paraId="050B3031" w14:textId="77777777" w:rsidR="00DE6086" w:rsidRPr="00E713FD" w:rsidRDefault="00DE6086" w:rsidP="00CE7F98">
            <w:pPr>
              <w:pBdr>
                <w:top w:val="nil"/>
                <w:left w:val="nil"/>
                <w:bottom w:val="nil"/>
                <w:right w:val="nil"/>
                <w:between w:val="nil"/>
              </w:pBdr>
              <w:spacing w:before="80" w:after="80"/>
              <w:rPr>
                <w:rFonts w:eastAsia="Palatino Linotype" w:cs="Palatino Linotype"/>
                <w:b/>
                <w:color w:val="000000"/>
              </w:rPr>
            </w:pPr>
          </w:p>
        </w:tc>
      </w:tr>
      <w:tr w:rsidR="00DE6086" w14:paraId="49521FF3" w14:textId="77777777" w:rsidTr="00DE6086">
        <w:tc>
          <w:tcPr>
            <w:tcW w:w="13590" w:type="dxa"/>
          </w:tcPr>
          <w:p w14:paraId="75BB279F" w14:textId="77777777" w:rsidR="00DE6086" w:rsidRDefault="00DE6086" w:rsidP="00CE7F98">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27EC003D" w14:textId="77777777" w:rsidR="00DE6086" w:rsidRDefault="00DE6086" w:rsidP="00CE7F98">
            <w:pPr>
              <w:rPr>
                <w:rFonts w:eastAsia="Palatino Linotype" w:cs="Palatino Linotype"/>
                <w:color w:val="000000" w:themeColor="text1"/>
              </w:rPr>
            </w:pPr>
          </w:p>
        </w:tc>
        <w:tc>
          <w:tcPr>
            <w:tcW w:w="810" w:type="dxa"/>
          </w:tcPr>
          <w:p w14:paraId="23D1F935" w14:textId="77777777" w:rsidR="00DE6086" w:rsidRDefault="00DE6086" w:rsidP="00CE7F98">
            <w:pPr>
              <w:jc w:val="center"/>
              <w:rPr>
                <w:rFonts w:eastAsia="Palatino Linotype" w:cs="Palatino Linotype"/>
                <w:b/>
                <w:color w:val="000000" w:themeColor="text1"/>
              </w:rPr>
            </w:pPr>
          </w:p>
        </w:tc>
      </w:tr>
      <w:tr w:rsidR="00DE6086" w14:paraId="02139BC7" w14:textId="77777777" w:rsidTr="00F15BC2">
        <w:tc>
          <w:tcPr>
            <w:tcW w:w="13590" w:type="dxa"/>
            <w:tcBorders>
              <w:bottom w:val="single" w:sz="4" w:space="0" w:color="000000" w:themeColor="text1"/>
            </w:tcBorders>
            <w:shd w:val="clear" w:color="auto" w:fill="DBE5F1" w:themeFill="accent1" w:themeFillTint="33"/>
            <w:vAlign w:val="center"/>
          </w:tcPr>
          <w:p w14:paraId="3C9E23A5" w14:textId="100FE5FC" w:rsidR="00DE6086" w:rsidRPr="2DCA1921" w:rsidRDefault="00DE6086" w:rsidP="00DE6086">
            <w:pPr>
              <w:rPr>
                <w:rFonts w:eastAsia="Palatino Linotype" w:cs="Palatino Linotype"/>
                <w:b/>
                <w:color w:val="000000" w:themeColor="text1"/>
              </w:rPr>
            </w:pPr>
            <w:r w:rsidRPr="00AA6020">
              <w:rPr>
                <w:rFonts w:eastAsia="Palatino Linotype" w:cs="Palatino Linotype"/>
                <w:b/>
                <w:bCs w:val="0"/>
                <w:color w:val="000000"/>
              </w:rPr>
              <w:t xml:space="preserve">2.  Type of Inquiry </w:t>
            </w:r>
          </w:p>
        </w:tc>
        <w:tc>
          <w:tcPr>
            <w:tcW w:w="810" w:type="dxa"/>
            <w:tcBorders>
              <w:bottom w:val="single" w:sz="4" w:space="0" w:color="000000" w:themeColor="text1"/>
            </w:tcBorders>
            <w:shd w:val="clear" w:color="auto" w:fill="DBE5F1" w:themeFill="accent1" w:themeFillTint="33"/>
          </w:tcPr>
          <w:p w14:paraId="19CA5460" w14:textId="77777777" w:rsidR="00DE6086" w:rsidRDefault="00DE6086" w:rsidP="00DE6086">
            <w:pPr>
              <w:jc w:val="center"/>
              <w:rPr>
                <w:rFonts w:eastAsia="Palatino Linotype" w:cs="Palatino Linotype"/>
                <w:b/>
                <w:color w:val="000000" w:themeColor="text1"/>
              </w:rPr>
            </w:pPr>
          </w:p>
        </w:tc>
      </w:tr>
      <w:tr w:rsidR="00DE6086" w14:paraId="3A3D0243" w14:textId="77777777" w:rsidTr="00FC1F11">
        <w:tc>
          <w:tcPr>
            <w:tcW w:w="13590" w:type="dxa"/>
            <w:tcBorders>
              <w:bottom w:val="single" w:sz="4" w:space="0" w:color="000000" w:themeColor="text1"/>
            </w:tcBorders>
            <w:vAlign w:val="center"/>
          </w:tcPr>
          <w:p w14:paraId="776C1175" w14:textId="518C8D52" w:rsidR="00DE6086" w:rsidRPr="00AA6020" w:rsidRDefault="00DE6086" w:rsidP="00DE6086">
            <w:pPr>
              <w:rPr>
                <w:rFonts w:eastAsia="Palatino Linotype" w:cs="Palatino Linotype"/>
                <w:b/>
                <w:bCs w:val="0"/>
                <w:color w:val="000000"/>
              </w:rPr>
            </w:pPr>
            <w:r>
              <w:rPr>
                <w:rFonts w:eastAsia="Palatino Linotype" w:cs="Palatino Linotype"/>
                <w:color w:val="000000"/>
              </w:rPr>
              <w:t xml:space="preserve">Multiple paths of inquiry are offered to students such as data collection, field interviews, research, and experimenting with techniques, strategies, or production. </w:t>
            </w:r>
          </w:p>
        </w:tc>
        <w:tc>
          <w:tcPr>
            <w:tcW w:w="810" w:type="dxa"/>
            <w:tcBorders>
              <w:bottom w:val="single" w:sz="4" w:space="0" w:color="000000" w:themeColor="text1"/>
            </w:tcBorders>
          </w:tcPr>
          <w:p w14:paraId="07E6BF13" w14:textId="77777777" w:rsidR="00DE6086" w:rsidRDefault="00DE6086" w:rsidP="00DE6086">
            <w:pPr>
              <w:jc w:val="center"/>
              <w:rPr>
                <w:rFonts w:eastAsia="Palatino Linotype" w:cs="Palatino Linotype"/>
                <w:b/>
                <w:color w:val="000000" w:themeColor="text1"/>
              </w:rPr>
            </w:pPr>
          </w:p>
        </w:tc>
      </w:tr>
      <w:tr w:rsidR="00DE6086" w14:paraId="30175FCB" w14:textId="77777777" w:rsidTr="00FC1F11">
        <w:tc>
          <w:tcPr>
            <w:tcW w:w="13590" w:type="dxa"/>
            <w:tcBorders>
              <w:bottom w:val="single" w:sz="4" w:space="0" w:color="000000" w:themeColor="text1"/>
            </w:tcBorders>
            <w:vAlign w:val="center"/>
          </w:tcPr>
          <w:p w14:paraId="6B57C4E0" w14:textId="0BC2B7BB" w:rsidR="00DE6086" w:rsidRDefault="00DE6086" w:rsidP="00DE6086">
            <w:pPr>
              <w:rPr>
                <w:rFonts w:eastAsia="Palatino Linotype" w:cs="Palatino Linotype"/>
                <w:color w:val="000000"/>
              </w:rPr>
            </w:pPr>
            <w:r>
              <w:rPr>
                <w:rFonts w:eastAsia="Palatino Linotype" w:cs="Palatino Linotype"/>
                <w:color w:val="000000"/>
              </w:rPr>
              <w:t xml:space="preserve">The assessment provides opportunities for students to construct, investigate, understand, and apply knowledge, skills, and behaviors to a product and/or solution to a problem. </w:t>
            </w:r>
          </w:p>
        </w:tc>
        <w:tc>
          <w:tcPr>
            <w:tcW w:w="810" w:type="dxa"/>
            <w:tcBorders>
              <w:bottom w:val="single" w:sz="4" w:space="0" w:color="000000" w:themeColor="text1"/>
            </w:tcBorders>
          </w:tcPr>
          <w:p w14:paraId="2128AA3B" w14:textId="77777777" w:rsidR="00DE6086" w:rsidRDefault="00DE6086" w:rsidP="00DE6086">
            <w:pPr>
              <w:jc w:val="center"/>
              <w:rPr>
                <w:rFonts w:eastAsia="Palatino Linotype" w:cs="Palatino Linotype"/>
                <w:b/>
                <w:color w:val="000000" w:themeColor="text1"/>
              </w:rPr>
            </w:pPr>
          </w:p>
        </w:tc>
      </w:tr>
      <w:tr w:rsidR="00DE6086" w14:paraId="161101ED" w14:textId="77777777" w:rsidTr="00FC1F11">
        <w:tc>
          <w:tcPr>
            <w:tcW w:w="13590" w:type="dxa"/>
            <w:tcBorders>
              <w:bottom w:val="single" w:sz="4" w:space="0" w:color="000000" w:themeColor="text1"/>
            </w:tcBorders>
          </w:tcPr>
          <w:p w14:paraId="25839C25" w14:textId="77777777" w:rsidR="00DE6086" w:rsidRDefault="00DE6086" w:rsidP="00DE6086">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333FD8E9" w14:textId="77777777" w:rsidR="00DE6086" w:rsidRDefault="00DE6086" w:rsidP="00DE6086">
            <w:pPr>
              <w:rPr>
                <w:rFonts w:eastAsia="Palatino Linotype" w:cs="Palatino Linotype"/>
                <w:color w:val="000000"/>
              </w:rPr>
            </w:pPr>
          </w:p>
        </w:tc>
        <w:tc>
          <w:tcPr>
            <w:tcW w:w="810" w:type="dxa"/>
            <w:tcBorders>
              <w:bottom w:val="single" w:sz="4" w:space="0" w:color="000000" w:themeColor="text1"/>
            </w:tcBorders>
          </w:tcPr>
          <w:p w14:paraId="33712123" w14:textId="77777777" w:rsidR="00DE6086" w:rsidRDefault="00DE6086" w:rsidP="00DE6086">
            <w:pPr>
              <w:jc w:val="center"/>
              <w:rPr>
                <w:rFonts w:eastAsia="Palatino Linotype" w:cs="Palatino Linotype"/>
                <w:b/>
                <w:color w:val="000000" w:themeColor="text1"/>
              </w:rPr>
            </w:pPr>
          </w:p>
        </w:tc>
      </w:tr>
      <w:tr w:rsidR="00DE6086" w:rsidRPr="00E713FD" w14:paraId="0E0D1444" w14:textId="77777777" w:rsidTr="00F15BC2">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D30798B" w14:textId="77777777" w:rsidR="00DE6086" w:rsidRPr="00DE6086" w:rsidRDefault="00DE6086" w:rsidP="00DE6086">
            <w:pPr>
              <w:rPr>
                <w:rFonts w:eastAsia="Palatino Linotype" w:cs="Palatino Linotype"/>
                <w:b/>
                <w:color w:val="000000" w:themeColor="text1"/>
              </w:rPr>
            </w:pPr>
            <w:r w:rsidRPr="00DE6086">
              <w:rPr>
                <w:rFonts w:eastAsia="Palatino Linotype" w:cs="Palatino Linotype"/>
                <w:b/>
                <w:color w:val="000000" w:themeColor="text1"/>
              </w:rPr>
              <w:lastRenderedPageBreak/>
              <w:t xml:space="preserve">3.  Degree of Authenticity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7B38BF6" w14:textId="77777777" w:rsidR="00DE6086" w:rsidRPr="00DE6086" w:rsidRDefault="00DE6086" w:rsidP="00DE6086">
            <w:pPr>
              <w:jc w:val="center"/>
              <w:rPr>
                <w:rFonts w:eastAsia="Palatino Linotype" w:cs="Palatino Linotype"/>
                <w:b/>
                <w:color w:val="000000" w:themeColor="text1"/>
              </w:rPr>
            </w:pPr>
          </w:p>
        </w:tc>
      </w:tr>
      <w:tr w:rsidR="00DE6086" w:rsidRPr="00E713FD" w14:paraId="426DC6C8" w14:textId="77777777" w:rsidTr="00DE6086">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F3B83" w14:textId="77777777" w:rsidR="00DE6086" w:rsidRPr="00DE6086" w:rsidRDefault="00DE6086" w:rsidP="00DE6086">
            <w:pPr>
              <w:rPr>
                <w:rFonts w:eastAsia="Palatino Linotype" w:cs="Palatino Linotype"/>
                <w:bCs w:val="0"/>
                <w:color w:val="000000" w:themeColor="text1"/>
              </w:rPr>
            </w:pPr>
            <w:r w:rsidRPr="00DE6086">
              <w:rPr>
                <w:rFonts w:eastAsia="Palatino Linotype" w:cs="Palatino Linotype"/>
                <w:bCs w:val="0"/>
                <w:color w:val="000000" w:themeColor="text1"/>
              </w:rPr>
              <w:t>The overarching challenge is relevant and meaningful to students.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ADD03" w14:textId="77777777" w:rsidR="00DE6086" w:rsidRPr="00DE6086" w:rsidRDefault="00DE6086" w:rsidP="00DE6086">
            <w:pPr>
              <w:jc w:val="center"/>
              <w:rPr>
                <w:rFonts w:eastAsia="Palatino Linotype" w:cs="Palatino Linotype"/>
                <w:b/>
                <w:color w:val="000000" w:themeColor="text1"/>
              </w:rPr>
            </w:pPr>
          </w:p>
        </w:tc>
      </w:tr>
      <w:tr w:rsidR="00DE6086" w:rsidRPr="00E713FD" w14:paraId="4F3FC758" w14:textId="77777777" w:rsidTr="00DE6086">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FC8E4" w14:textId="77777777" w:rsidR="00DE6086" w:rsidRPr="00DE6086" w:rsidRDefault="00DE6086" w:rsidP="00DE6086">
            <w:pPr>
              <w:rPr>
                <w:rFonts w:eastAsia="Palatino Linotype" w:cs="Palatino Linotype"/>
                <w:bCs w:val="0"/>
                <w:color w:val="000000" w:themeColor="text1"/>
              </w:rPr>
            </w:pPr>
            <w:r w:rsidRPr="00DE6086">
              <w:rPr>
                <w:rFonts w:eastAsia="Palatino Linotype" w:cs="Palatino Linotype"/>
                <w:bCs w:val="0"/>
                <w:color w:val="000000" w:themeColor="text1"/>
              </w:rPr>
              <w:t xml:space="preserve">Content being assessed is related to real-world problems and contexts.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A8B53" w14:textId="77777777" w:rsidR="00DE6086" w:rsidRPr="00DE6086" w:rsidRDefault="00DE6086" w:rsidP="00DE6086">
            <w:pPr>
              <w:jc w:val="center"/>
              <w:rPr>
                <w:rFonts w:eastAsia="Palatino Linotype" w:cs="Palatino Linotype"/>
                <w:b/>
                <w:color w:val="000000" w:themeColor="text1"/>
              </w:rPr>
            </w:pPr>
          </w:p>
        </w:tc>
      </w:tr>
      <w:tr w:rsidR="00DE6086" w14:paraId="5A3315F2" w14:textId="77777777" w:rsidTr="00DE6086">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4CCA" w14:textId="77777777" w:rsidR="00DE6086" w:rsidRDefault="00DE6086" w:rsidP="00CE7F98">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17C1C8B6" w14:textId="77777777" w:rsidR="00DE6086" w:rsidRPr="00DE6086" w:rsidRDefault="00DE6086" w:rsidP="00CE7F98">
            <w:pPr>
              <w:rPr>
                <w:rFonts w:eastAsia="Palatino Linotype" w:cs="Palatino Linotype"/>
                <w:b/>
                <w:color w:val="000000" w:themeColor="text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DB41B" w14:textId="77777777" w:rsidR="00DE6086" w:rsidRDefault="00DE6086" w:rsidP="00CE7F98">
            <w:pPr>
              <w:jc w:val="center"/>
              <w:rPr>
                <w:rFonts w:eastAsia="Palatino Linotype" w:cs="Palatino Linotype"/>
                <w:b/>
                <w:color w:val="000000" w:themeColor="text1"/>
              </w:rPr>
            </w:pPr>
          </w:p>
        </w:tc>
      </w:tr>
      <w:tr w:rsidR="00DE6086" w:rsidRPr="00E713FD" w14:paraId="4501172E" w14:textId="77777777" w:rsidTr="00F15BC2">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4DDD036" w14:textId="77777777" w:rsidR="00DE6086" w:rsidRPr="00DE6086" w:rsidRDefault="00DE6086" w:rsidP="00DE6086">
            <w:pPr>
              <w:rPr>
                <w:rFonts w:eastAsia="Palatino Linotype" w:cs="Palatino Linotype"/>
                <w:b/>
                <w:color w:val="000000" w:themeColor="text1"/>
              </w:rPr>
            </w:pPr>
            <w:r w:rsidRPr="00DE6086">
              <w:rPr>
                <w:rFonts w:eastAsia="Palatino Linotype" w:cs="Palatino Linotype"/>
                <w:b/>
                <w:color w:val="000000" w:themeColor="text1"/>
              </w:rPr>
              <w:t xml:space="preserve">4. Student Voice and Choice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899409" w14:textId="77777777" w:rsidR="00DE6086" w:rsidRPr="00DE6086" w:rsidRDefault="00DE6086" w:rsidP="00DE6086">
            <w:pPr>
              <w:jc w:val="center"/>
              <w:rPr>
                <w:rFonts w:eastAsia="Palatino Linotype" w:cs="Palatino Linotype"/>
                <w:b/>
                <w:color w:val="000000" w:themeColor="text1"/>
              </w:rPr>
            </w:pPr>
          </w:p>
        </w:tc>
      </w:tr>
      <w:tr w:rsidR="00DE6086" w:rsidRPr="00E713FD" w14:paraId="5E306FD2" w14:textId="77777777" w:rsidTr="00DE6086">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0791" w14:textId="77777777" w:rsidR="00DE6086" w:rsidRPr="00DE6086" w:rsidRDefault="00DE6086" w:rsidP="00DE6086">
            <w:pPr>
              <w:rPr>
                <w:rFonts w:eastAsia="Palatino Linotype" w:cs="Palatino Linotype"/>
                <w:bCs w:val="0"/>
                <w:color w:val="000000" w:themeColor="text1"/>
              </w:rPr>
            </w:pPr>
            <w:r w:rsidRPr="00DE6086">
              <w:rPr>
                <w:rFonts w:eastAsia="Palatino Linotype" w:cs="Palatino Linotype"/>
                <w:bCs w:val="0"/>
                <w:color w:val="000000" w:themeColor="text1"/>
              </w:rPr>
              <w:t xml:space="preserve">Opportunities for student ownership and student choice (e.g., topic, product, target audience, etc.) are evident.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626F0" w14:textId="77777777" w:rsidR="00DE6086" w:rsidRPr="00DE6086" w:rsidRDefault="00DE6086" w:rsidP="00DE6086">
            <w:pPr>
              <w:jc w:val="center"/>
              <w:rPr>
                <w:rFonts w:eastAsia="Palatino Linotype" w:cs="Palatino Linotype"/>
                <w:b/>
                <w:color w:val="000000" w:themeColor="text1"/>
              </w:rPr>
            </w:pPr>
          </w:p>
        </w:tc>
      </w:tr>
      <w:tr w:rsidR="00DE6086" w:rsidRPr="00E713FD" w14:paraId="740D3B35" w14:textId="77777777" w:rsidTr="00DE6086">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EB2B2" w14:textId="77777777" w:rsidR="00DE6086" w:rsidRPr="00DE6086" w:rsidRDefault="00DE6086" w:rsidP="00DE6086">
            <w:pPr>
              <w:rPr>
                <w:rFonts w:eastAsia="Palatino Linotype" w:cs="Palatino Linotype"/>
                <w:bCs w:val="0"/>
                <w:color w:val="000000" w:themeColor="text1"/>
              </w:rPr>
            </w:pPr>
            <w:r w:rsidRPr="00DE6086">
              <w:rPr>
                <w:rFonts w:eastAsia="Palatino Linotype" w:cs="Palatino Linotype"/>
                <w:bCs w:val="0"/>
                <w:color w:val="000000" w:themeColor="text1"/>
              </w:rPr>
              <w:t xml:space="preserve">The assessment requires student-initiated planning, management of information/data, time management, and ideas.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08B8" w14:textId="77777777" w:rsidR="00DE6086" w:rsidRPr="00DE6086" w:rsidRDefault="00DE6086" w:rsidP="00DE6086">
            <w:pPr>
              <w:jc w:val="center"/>
              <w:rPr>
                <w:rFonts w:eastAsia="Palatino Linotype" w:cs="Palatino Linotype"/>
                <w:b/>
                <w:color w:val="000000" w:themeColor="text1"/>
              </w:rPr>
            </w:pPr>
          </w:p>
        </w:tc>
      </w:tr>
      <w:tr w:rsidR="00DE6086" w14:paraId="26D56941" w14:textId="77777777" w:rsidTr="00DE6086">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238" w14:textId="77777777" w:rsidR="00DE6086" w:rsidRDefault="00DE6086" w:rsidP="00CE7F98">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735012D2" w14:textId="77777777" w:rsidR="00DE6086" w:rsidRPr="00DE6086" w:rsidRDefault="00DE6086" w:rsidP="00CE7F98">
            <w:pPr>
              <w:rPr>
                <w:rFonts w:eastAsia="Palatino Linotype" w:cs="Palatino Linotype"/>
                <w:b/>
                <w:color w:val="000000" w:themeColor="text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EF261" w14:textId="77777777" w:rsidR="00DE6086" w:rsidRDefault="00DE6086" w:rsidP="00CE7F98">
            <w:pPr>
              <w:jc w:val="center"/>
              <w:rPr>
                <w:rFonts w:eastAsia="Palatino Linotype" w:cs="Palatino Linotype"/>
                <w:b/>
                <w:color w:val="000000" w:themeColor="text1"/>
              </w:rPr>
            </w:pPr>
          </w:p>
        </w:tc>
      </w:tr>
      <w:tr w:rsidR="00DE6086" w14:paraId="7FAC53AF" w14:textId="77777777" w:rsidTr="00F15BC2">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8648F41" w14:textId="6A9A0A4C" w:rsidR="00DE6086" w:rsidRPr="2DCA1921" w:rsidRDefault="00DE6086" w:rsidP="00DE6086">
            <w:pPr>
              <w:rPr>
                <w:rFonts w:eastAsia="Palatino Linotype" w:cs="Palatino Linotype"/>
                <w:b/>
                <w:color w:val="000000" w:themeColor="text1"/>
              </w:rPr>
            </w:pPr>
            <w:r w:rsidRPr="2DCA1921">
              <w:rPr>
                <w:rFonts w:eastAsia="Palatino Linotype" w:cs="Palatino Linotype"/>
                <w:b/>
                <w:color w:val="000000" w:themeColor="text1"/>
              </w:rPr>
              <w:t>5.  Opportunities for Feedback, Revision, and Reflection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D87926" w14:textId="77777777" w:rsidR="00DE6086" w:rsidRDefault="00DE6086" w:rsidP="00DE6086">
            <w:pPr>
              <w:jc w:val="center"/>
              <w:rPr>
                <w:rFonts w:eastAsia="Palatino Linotype" w:cs="Palatino Linotype"/>
                <w:b/>
                <w:color w:val="000000" w:themeColor="text1"/>
              </w:rPr>
            </w:pPr>
          </w:p>
        </w:tc>
      </w:tr>
      <w:tr w:rsidR="00DE6086" w14:paraId="1DDCBD4C" w14:textId="77777777" w:rsidTr="0035769E">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ECDCE" w14:textId="3856C6AE" w:rsidR="00DE6086" w:rsidRPr="2DCA1921" w:rsidRDefault="00DE6086" w:rsidP="00DE6086">
            <w:pPr>
              <w:rPr>
                <w:rFonts w:eastAsia="Palatino Linotype" w:cs="Palatino Linotype"/>
                <w:b/>
                <w:color w:val="000000" w:themeColor="text1"/>
              </w:rPr>
            </w:pPr>
            <w:r w:rsidRPr="2DCA1921">
              <w:rPr>
                <w:rFonts w:eastAsia="Palatino Linotype" w:cs="Palatino Linotype"/>
              </w:rPr>
              <w:t xml:space="preserve">Peer/teacher feedback and revision phases are included in the assessment.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A39EB" w14:textId="77777777" w:rsidR="00DE6086" w:rsidRDefault="00DE6086" w:rsidP="00DE6086">
            <w:pPr>
              <w:jc w:val="center"/>
              <w:rPr>
                <w:rFonts w:eastAsia="Palatino Linotype" w:cs="Palatino Linotype"/>
                <w:b/>
                <w:color w:val="000000" w:themeColor="text1"/>
              </w:rPr>
            </w:pPr>
          </w:p>
        </w:tc>
      </w:tr>
      <w:tr w:rsidR="00DE6086" w14:paraId="311D5B08" w14:textId="77777777" w:rsidTr="0035769E">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DBDF3" w14:textId="4E3A0843" w:rsidR="00DE6086" w:rsidRPr="2DCA1921" w:rsidRDefault="00DE6086" w:rsidP="00DE6086">
            <w:pPr>
              <w:rPr>
                <w:rFonts w:eastAsia="Palatino Linotype" w:cs="Palatino Linotype"/>
              </w:rPr>
            </w:pPr>
            <w:r w:rsidRPr="2DCA1921">
              <w:rPr>
                <w:rFonts w:eastAsia="Palatino Linotype" w:cs="Palatino Linotype"/>
                <w:color w:val="000000" w:themeColor="text1"/>
              </w:rPr>
              <w:t>Formative assessments including documented student reflection (e.g., journal entries, videos, artwork, etc.) is evident during and after the assessment.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CE300" w14:textId="77777777" w:rsidR="00DE6086" w:rsidRDefault="00DE6086" w:rsidP="00DE6086">
            <w:pPr>
              <w:jc w:val="center"/>
              <w:rPr>
                <w:rFonts w:eastAsia="Palatino Linotype" w:cs="Palatino Linotype"/>
                <w:b/>
                <w:color w:val="000000" w:themeColor="text1"/>
              </w:rPr>
            </w:pPr>
          </w:p>
        </w:tc>
      </w:tr>
      <w:tr w:rsidR="00DE6086" w14:paraId="487DF527" w14:textId="77777777" w:rsidTr="0035769E">
        <w:tc>
          <w:tcPr>
            <w:tcW w:w="13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2C5BE" w14:textId="77777777" w:rsidR="00DE6086" w:rsidRDefault="00DE6086" w:rsidP="00DE6086">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3BE8899D" w14:textId="77777777" w:rsidR="00DE6086" w:rsidRPr="2DCA1921" w:rsidRDefault="00DE6086" w:rsidP="00DE6086">
            <w:pPr>
              <w:rPr>
                <w:rFonts w:eastAsia="Palatino Linotype" w:cs="Palatino Linotype"/>
                <w:color w:val="000000" w:themeColor="text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412B1" w14:textId="77777777" w:rsidR="00DE6086" w:rsidRDefault="00DE6086" w:rsidP="00DE6086">
            <w:pPr>
              <w:jc w:val="center"/>
              <w:rPr>
                <w:rFonts w:eastAsia="Palatino Linotype" w:cs="Palatino Linotype"/>
                <w:b/>
                <w:color w:val="000000" w:themeColor="text1"/>
              </w:rPr>
            </w:pPr>
          </w:p>
        </w:tc>
      </w:tr>
    </w:tbl>
    <w:p w14:paraId="7E2859E8" w14:textId="2AD9A166" w:rsidR="00DE6086" w:rsidRDefault="00DE6086" w:rsidP="00A5108F">
      <w:pPr>
        <w:pBdr>
          <w:top w:val="nil"/>
          <w:left w:val="nil"/>
          <w:bottom w:val="nil"/>
          <w:right w:val="nil"/>
          <w:between w:val="nil"/>
        </w:pBdr>
        <w:spacing w:before="0" w:after="240"/>
        <w:ind w:right="-720"/>
        <w:rPr>
          <w:rFonts w:eastAsia="Palatino Linotype" w:cs="Palatino Linotype"/>
        </w:rPr>
      </w:pPr>
    </w:p>
    <w:tbl>
      <w:tblPr>
        <w:tblW w:w="144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90"/>
        <w:gridCol w:w="810"/>
      </w:tblGrid>
      <w:tr w:rsidR="00DE6086" w:rsidRPr="00E713FD" w14:paraId="2C8AC55B" w14:textId="77777777" w:rsidTr="00CE7F98">
        <w:trPr>
          <w:tblHeader/>
        </w:trPr>
        <w:tc>
          <w:tcPr>
            <w:tcW w:w="13590" w:type="dxa"/>
            <w:tcBorders>
              <w:bottom w:val="single" w:sz="4" w:space="0" w:color="000000" w:themeColor="text1"/>
            </w:tcBorders>
            <w:shd w:val="clear" w:color="auto" w:fill="263F6A"/>
            <w:vAlign w:val="center"/>
          </w:tcPr>
          <w:p w14:paraId="2E2FAF7D" w14:textId="7B6C754B" w:rsidR="00DE6086" w:rsidRPr="00273454" w:rsidRDefault="00DE6086" w:rsidP="00CE7F98">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lastRenderedPageBreak/>
              <w:t xml:space="preserve">Design Elements </w:t>
            </w:r>
            <w:r w:rsidRPr="00273454">
              <w:rPr>
                <w:rFonts w:eastAsia="Source Sans Pro" w:cs="Source Sans Pro"/>
                <w:b/>
                <w:color w:val="FFFFFF" w:themeColor="background1"/>
                <w:sz w:val="24"/>
                <w:szCs w:val="24"/>
              </w:rPr>
              <w:t>Criteria</w:t>
            </w:r>
          </w:p>
        </w:tc>
        <w:tc>
          <w:tcPr>
            <w:tcW w:w="810" w:type="dxa"/>
            <w:tcBorders>
              <w:bottom w:val="single" w:sz="4" w:space="0" w:color="000000" w:themeColor="text1"/>
            </w:tcBorders>
            <w:shd w:val="clear" w:color="auto" w:fill="263F6A"/>
            <w:vAlign w:val="center"/>
          </w:tcPr>
          <w:p w14:paraId="766C1C68" w14:textId="77777777" w:rsidR="00DE6086" w:rsidRPr="00273454" w:rsidRDefault="00DE6086" w:rsidP="00CE7F98">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t>1-3</w:t>
            </w:r>
          </w:p>
        </w:tc>
      </w:tr>
      <w:tr w:rsidR="00DE6086" w14:paraId="638DFEA5" w14:textId="77777777" w:rsidTr="00F15BC2">
        <w:tc>
          <w:tcPr>
            <w:tcW w:w="13590" w:type="dxa"/>
            <w:shd w:val="clear" w:color="auto" w:fill="DBE5F1" w:themeFill="accent1" w:themeFillTint="33"/>
            <w:vAlign w:val="center"/>
          </w:tcPr>
          <w:p w14:paraId="62C20C66" w14:textId="77777777" w:rsidR="00DE6086" w:rsidRPr="2DCA1921" w:rsidRDefault="00DE6086" w:rsidP="00CE7F98">
            <w:pPr>
              <w:rPr>
                <w:rFonts w:eastAsia="Palatino Linotype" w:cs="Palatino Linotype"/>
                <w:b/>
                <w:color w:val="000000" w:themeColor="text1"/>
              </w:rPr>
            </w:pPr>
            <w:r w:rsidRPr="2DCA1921">
              <w:rPr>
                <w:rFonts w:eastAsia="Palatino Linotype" w:cs="Palatino Linotype"/>
                <w:b/>
                <w:color w:val="000000" w:themeColor="text1"/>
              </w:rPr>
              <w:t xml:space="preserve">6. Universal Design for Learning </w:t>
            </w:r>
          </w:p>
        </w:tc>
        <w:tc>
          <w:tcPr>
            <w:tcW w:w="810" w:type="dxa"/>
            <w:shd w:val="clear" w:color="auto" w:fill="DBE5F1" w:themeFill="accent1" w:themeFillTint="33"/>
          </w:tcPr>
          <w:p w14:paraId="496284D0" w14:textId="77777777" w:rsidR="00DE6086" w:rsidRDefault="00DE6086" w:rsidP="00CE7F98">
            <w:pPr>
              <w:jc w:val="center"/>
              <w:rPr>
                <w:rFonts w:eastAsia="Palatino Linotype" w:cs="Palatino Linotype"/>
                <w:color w:val="000000" w:themeColor="text1"/>
              </w:rPr>
            </w:pPr>
          </w:p>
        </w:tc>
      </w:tr>
      <w:tr w:rsidR="00DE6086" w14:paraId="7D8E80CD" w14:textId="77777777" w:rsidTr="00CE7F98">
        <w:tc>
          <w:tcPr>
            <w:tcW w:w="13590" w:type="dxa"/>
            <w:vAlign w:val="center"/>
          </w:tcPr>
          <w:p w14:paraId="596EED09" w14:textId="77777777" w:rsidR="00DE6086" w:rsidRPr="2DCA1921" w:rsidRDefault="00DE6086" w:rsidP="00CE7F98">
            <w:pPr>
              <w:rPr>
                <w:rFonts w:eastAsia="Palatino Linotype" w:cs="Palatino Linotype"/>
                <w:b/>
                <w:color w:val="000000" w:themeColor="text1"/>
              </w:rPr>
            </w:pPr>
            <w:r>
              <w:rPr>
                <w:rFonts w:eastAsia="Palatino Linotype" w:cs="Palatino Linotype"/>
                <w:color w:val="000000"/>
              </w:rPr>
              <w:t xml:space="preserve">Multiple forms (e.g., </w:t>
            </w:r>
            <w:proofErr w:type="gramStart"/>
            <w:r>
              <w:rPr>
                <w:rFonts w:eastAsia="Palatino Linotype" w:cs="Palatino Linotype"/>
                <w:color w:val="000000"/>
              </w:rPr>
              <w:t>visual</w:t>
            </w:r>
            <w:proofErr w:type="gramEnd"/>
            <w:r>
              <w:rPr>
                <w:rFonts w:eastAsia="Palatino Linotype" w:cs="Palatino Linotype"/>
                <w:color w:val="000000"/>
              </w:rPr>
              <w:t xml:space="preserve"> and digital) of materials are offered for delivering material. </w:t>
            </w:r>
          </w:p>
        </w:tc>
        <w:tc>
          <w:tcPr>
            <w:tcW w:w="810" w:type="dxa"/>
          </w:tcPr>
          <w:p w14:paraId="0F885E18" w14:textId="77777777" w:rsidR="00DE6086" w:rsidRDefault="00DE6086" w:rsidP="00CE7F98">
            <w:pPr>
              <w:jc w:val="center"/>
              <w:rPr>
                <w:rFonts w:eastAsia="Palatino Linotype" w:cs="Palatino Linotype"/>
                <w:color w:val="000000" w:themeColor="text1"/>
              </w:rPr>
            </w:pPr>
          </w:p>
        </w:tc>
      </w:tr>
      <w:tr w:rsidR="00DE6086" w14:paraId="0D867DFD" w14:textId="77777777" w:rsidTr="00CE7F98">
        <w:tc>
          <w:tcPr>
            <w:tcW w:w="13590" w:type="dxa"/>
            <w:vAlign w:val="center"/>
          </w:tcPr>
          <w:p w14:paraId="5EF0409E" w14:textId="77777777" w:rsidR="00DE6086" w:rsidRDefault="00DE6086" w:rsidP="00CE7F98">
            <w:pPr>
              <w:rPr>
                <w:rFonts w:eastAsia="Palatino Linotype" w:cs="Palatino Linotype"/>
                <w:color w:val="000000"/>
              </w:rPr>
            </w:pPr>
            <w:r w:rsidRPr="2DCA1921">
              <w:rPr>
                <w:rFonts w:eastAsia="Palatino Linotype" w:cs="Palatino Linotype"/>
                <w:color w:val="000000" w:themeColor="text1"/>
              </w:rPr>
              <w:t xml:space="preserve">Students can express their knowledge and ideas through a variety of modes, including digital media and other tools. </w:t>
            </w:r>
          </w:p>
        </w:tc>
        <w:tc>
          <w:tcPr>
            <w:tcW w:w="810" w:type="dxa"/>
          </w:tcPr>
          <w:p w14:paraId="41EBC8E3" w14:textId="77777777" w:rsidR="00DE6086" w:rsidRDefault="00DE6086" w:rsidP="00CE7F98">
            <w:pPr>
              <w:jc w:val="center"/>
              <w:rPr>
                <w:rFonts w:eastAsia="Palatino Linotype" w:cs="Palatino Linotype"/>
                <w:color w:val="000000" w:themeColor="text1"/>
              </w:rPr>
            </w:pPr>
          </w:p>
        </w:tc>
      </w:tr>
      <w:tr w:rsidR="00DE6086" w14:paraId="2C39B429" w14:textId="77777777" w:rsidTr="00CE7F98">
        <w:tc>
          <w:tcPr>
            <w:tcW w:w="13590" w:type="dxa"/>
          </w:tcPr>
          <w:p w14:paraId="7B9C1E5C" w14:textId="77777777" w:rsidR="00DE6086" w:rsidRDefault="00DE6086" w:rsidP="00CE7F98">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2F45AC41" w14:textId="77777777" w:rsidR="00DE6086" w:rsidRPr="2DCA1921" w:rsidRDefault="00DE6086" w:rsidP="00CE7F98">
            <w:pPr>
              <w:rPr>
                <w:rFonts w:eastAsia="Palatino Linotype" w:cs="Palatino Linotype"/>
                <w:color w:val="000000" w:themeColor="text1"/>
              </w:rPr>
            </w:pPr>
          </w:p>
        </w:tc>
        <w:tc>
          <w:tcPr>
            <w:tcW w:w="810" w:type="dxa"/>
          </w:tcPr>
          <w:p w14:paraId="1EEE04C5" w14:textId="77777777" w:rsidR="00DE6086" w:rsidRDefault="00DE6086" w:rsidP="00CE7F98">
            <w:pPr>
              <w:jc w:val="center"/>
              <w:rPr>
                <w:rFonts w:eastAsia="Palatino Linotype" w:cs="Palatino Linotype"/>
                <w:color w:val="000000" w:themeColor="text1"/>
              </w:rPr>
            </w:pPr>
          </w:p>
        </w:tc>
      </w:tr>
      <w:tr w:rsidR="00DE6086" w14:paraId="1FE0F814" w14:textId="77777777" w:rsidTr="00F15BC2">
        <w:tc>
          <w:tcPr>
            <w:tcW w:w="13590" w:type="dxa"/>
            <w:shd w:val="clear" w:color="auto" w:fill="DBE5F1" w:themeFill="accent1" w:themeFillTint="33"/>
            <w:vAlign w:val="center"/>
          </w:tcPr>
          <w:p w14:paraId="3CC16462" w14:textId="77777777" w:rsidR="00DE6086" w:rsidRPr="2DCA1921" w:rsidRDefault="00DE6086" w:rsidP="00CE7F98">
            <w:pPr>
              <w:rPr>
                <w:rFonts w:eastAsia="Palatino Linotype" w:cs="Palatino Linotype"/>
                <w:b/>
                <w:color w:val="000000" w:themeColor="text1"/>
              </w:rPr>
            </w:pPr>
            <w:r w:rsidRPr="2DCA1921">
              <w:rPr>
                <w:rFonts w:eastAsia="Palatino Linotype" w:cs="Palatino Linotype"/>
                <w:b/>
              </w:rPr>
              <w:t xml:space="preserve">7. Evaluation </w:t>
            </w:r>
          </w:p>
        </w:tc>
        <w:tc>
          <w:tcPr>
            <w:tcW w:w="810" w:type="dxa"/>
            <w:shd w:val="clear" w:color="auto" w:fill="DBE5F1" w:themeFill="accent1" w:themeFillTint="33"/>
          </w:tcPr>
          <w:p w14:paraId="6234D51F" w14:textId="77777777" w:rsidR="00DE6086" w:rsidRDefault="00DE6086" w:rsidP="00CE7F98">
            <w:pPr>
              <w:jc w:val="center"/>
              <w:rPr>
                <w:rFonts w:eastAsia="Palatino Linotype" w:cs="Palatino Linotype"/>
                <w:color w:val="000000" w:themeColor="text1"/>
              </w:rPr>
            </w:pPr>
          </w:p>
        </w:tc>
      </w:tr>
      <w:tr w:rsidR="00DE6086" w14:paraId="31782CFF" w14:textId="77777777" w:rsidTr="00CE7F98">
        <w:tc>
          <w:tcPr>
            <w:tcW w:w="13590" w:type="dxa"/>
            <w:vAlign w:val="center"/>
          </w:tcPr>
          <w:p w14:paraId="1499EDBC" w14:textId="77777777" w:rsidR="00DE6086" w:rsidRPr="2DCA1921" w:rsidRDefault="00DE6086" w:rsidP="00CE7F98">
            <w:pPr>
              <w:rPr>
                <w:rFonts w:eastAsia="Palatino Linotype" w:cs="Palatino Linotype"/>
                <w:b/>
              </w:rPr>
            </w:pPr>
            <w:r w:rsidRPr="21658F74">
              <w:rPr>
                <w:rFonts w:eastAsia="Palatino Linotype" w:cs="Palatino Linotype"/>
              </w:rPr>
              <w:t xml:space="preserve">Evaluation processes and criteria are clear and understood by students. </w:t>
            </w:r>
          </w:p>
        </w:tc>
        <w:tc>
          <w:tcPr>
            <w:tcW w:w="810" w:type="dxa"/>
          </w:tcPr>
          <w:p w14:paraId="7042104C" w14:textId="77777777" w:rsidR="00DE6086" w:rsidRDefault="00DE6086" w:rsidP="00CE7F98">
            <w:pPr>
              <w:jc w:val="center"/>
              <w:rPr>
                <w:rFonts w:eastAsia="Palatino Linotype" w:cs="Palatino Linotype"/>
                <w:color w:val="000000" w:themeColor="text1"/>
              </w:rPr>
            </w:pPr>
          </w:p>
        </w:tc>
      </w:tr>
      <w:tr w:rsidR="00DE6086" w14:paraId="7E503C35" w14:textId="77777777" w:rsidTr="00CE7F98">
        <w:tc>
          <w:tcPr>
            <w:tcW w:w="13590" w:type="dxa"/>
            <w:vAlign w:val="center"/>
          </w:tcPr>
          <w:p w14:paraId="6A62F000" w14:textId="5B8C08DA" w:rsidR="00DE6086" w:rsidRPr="21658F74" w:rsidRDefault="00DE6086" w:rsidP="00CE7F98">
            <w:pPr>
              <w:rPr>
                <w:rFonts w:eastAsia="Palatino Linotype" w:cs="Palatino Linotype"/>
              </w:rPr>
            </w:pPr>
            <w:r w:rsidRPr="49B138B4">
              <w:rPr>
                <w:rFonts w:eastAsia="Palatino Linotype" w:cs="Palatino Linotype"/>
              </w:rPr>
              <w:t>Students have evaluators other than the teacher (e.g., field experts, classmates,</w:t>
            </w:r>
            <w:r>
              <w:rPr>
                <w:rFonts w:eastAsia="Palatino Linotype" w:cs="Palatino Linotype"/>
              </w:rPr>
              <w:t xml:space="preserve"> self,</w:t>
            </w:r>
            <w:r w:rsidRPr="49B138B4">
              <w:rPr>
                <w:rFonts w:eastAsia="Palatino Linotype" w:cs="Palatino Linotype"/>
              </w:rPr>
              <w:t xml:space="preserve"> etc.). </w:t>
            </w:r>
          </w:p>
        </w:tc>
        <w:tc>
          <w:tcPr>
            <w:tcW w:w="810" w:type="dxa"/>
          </w:tcPr>
          <w:p w14:paraId="709E2722" w14:textId="77777777" w:rsidR="00DE6086" w:rsidRDefault="00DE6086" w:rsidP="00CE7F98">
            <w:pPr>
              <w:jc w:val="center"/>
              <w:rPr>
                <w:rFonts w:eastAsia="Palatino Linotype" w:cs="Palatino Linotype"/>
                <w:color w:val="000000" w:themeColor="text1"/>
              </w:rPr>
            </w:pPr>
          </w:p>
        </w:tc>
      </w:tr>
      <w:tr w:rsidR="00DE6086" w14:paraId="7BC9DF8E" w14:textId="77777777" w:rsidTr="00CE7F98">
        <w:tc>
          <w:tcPr>
            <w:tcW w:w="13590" w:type="dxa"/>
          </w:tcPr>
          <w:p w14:paraId="6722BD01" w14:textId="77777777" w:rsidR="00DE6086" w:rsidRDefault="00DE6086" w:rsidP="00CE7F98">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3AB9C407" w14:textId="77777777" w:rsidR="00DE6086" w:rsidRPr="49B138B4" w:rsidRDefault="00DE6086" w:rsidP="00CE7F98">
            <w:pPr>
              <w:rPr>
                <w:rFonts w:eastAsia="Palatino Linotype" w:cs="Palatino Linotype"/>
              </w:rPr>
            </w:pPr>
          </w:p>
        </w:tc>
        <w:tc>
          <w:tcPr>
            <w:tcW w:w="810" w:type="dxa"/>
          </w:tcPr>
          <w:p w14:paraId="03A21345" w14:textId="77777777" w:rsidR="00DE6086" w:rsidRDefault="00DE6086" w:rsidP="00CE7F98">
            <w:pPr>
              <w:jc w:val="center"/>
              <w:rPr>
                <w:rFonts w:eastAsia="Palatino Linotype" w:cs="Palatino Linotype"/>
                <w:color w:val="000000" w:themeColor="text1"/>
              </w:rPr>
            </w:pPr>
          </w:p>
        </w:tc>
      </w:tr>
    </w:tbl>
    <w:p w14:paraId="4E371B59" w14:textId="6EAA1BE4" w:rsidR="00DE6086" w:rsidRDefault="00DE6086" w:rsidP="00A5108F">
      <w:pPr>
        <w:pBdr>
          <w:top w:val="nil"/>
          <w:left w:val="nil"/>
          <w:bottom w:val="nil"/>
          <w:right w:val="nil"/>
          <w:between w:val="nil"/>
        </w:pBdr>
        <w:spacing w:before="0" w:after="240"/>
        <w:ind w:right="-720"/>
        <w:rPr>
          <w:rFonts w:eastAsia="Palatino Linotype" w:cs="Palatino Linotype"/>
        </w:rPr>
      </w:pPr>
    </w:p>
    <w:p w14:paraId="0EFCFC6E" w14:textId="77777777" w:rsidR="00DE6086" w:rsidRDefault="00DE6086">
      <w:pPr>
        <w:spacing w:before="0" w:after="200" w:line="276" w:lineRule="auto"/>
        <w:rPr>
          <w:rFonts w:eastAsia="Palatino Linotype" w:cs="Palatino Linotype"/>
        </w:rPr>
      </w:pPr>
      <w:r>
        <w:rPr>
          <w:rFonts w:eastAsia="Palatino Linotype" w:cs="Palatino Linotype"/>
        </w:rPr>
        <w:br w:type="page"/>
      </w:r>
    </w:p>
    <w:p w14:paraId="779A1F27" w14:textId="77777777" w:rsidR="00DE6086" w:rsidRPr="009A4ECA" w:rsidRDefault="00DE6086" w:rsidP="00A5108F">
      <w:pPr>
        <w:pBdr>
          <w:top w:val="nil"/>
          <w:left w:val="nil"/>
          <w:bottom w:val="nil"/>
          <w:right w:val="nil"/>
          <w:between w:val="nil"/>
        </w:pBdr>
        <w:spacing w:before="0" w:after="240"/>
        <w:ind w:right="-720"/>
        <w:rPr>
          <w:rFonts w:eastAsia="Palatino Linotype" w:cs="Palatino Linotype"/>
          <w:highlight w:val="yellow"/>
        </w:rPr>
      </w:pPr>
    </w:p>
    <w:tbl>
      <w:tblPr>
        <w:tblW w:w="144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90"/>
        <w:gridCol w:w="810"/>
      </w:tblGrid>
      <w:tr w:rsidR="003E5EBC" w:rsidRPr="00E713FD" w14:paraId="470026B3" w14:textId="77777777" w:rsidTr="00284309">
        <w:trPr>
          <w:cantSplit/>
          <w:tblHeader/>
        </w:trPr>
        <w:tc>
          <w:tcPr>
            <w:tcW w:w="13590" w:type="dxa"/>
            <w:tcBorders>
              <w:bottom w:val="single" w:sz="4" w:space="0" w:color="000000" w:themeColor="text1"/>
            </w:tcBorders>
            <w:shd w:val="clear" w:color="auto" w:fill="263F6A"/>
            <w:vAlign w:val="center"/>
          </w:tcPr>
          <w:p w14:paraId="7167027F" w14:textId="77777777" w:rsidR="003E5EBC" w:rsidRPr="00273454" w:rsidRDefault="003E5EBC" w:rsidP="00836273">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t xml:space="preserve">Assessment Plan </w:t>
            </w:r>
            <w:r w:rsidRPr="00273454">
              <w:rPr>
                <w:rFonts w:eastAsia="Source Sans Pro" w:cs="Source Sans Pro"/>
                <w:b/>
                <w:color w:val="FFFFFF" w:themeColor="background1"/>
                <w:sz w:val="24"/>
                <w:szCs w:val="24"/>
              </w:rPr>
              <w:t>Criteria</w:t>
            </w:r>
          </w:p>
        </w:tc>
        <w:tc>
          <w:tcPr>
            <w:tcW w:w="810" w:type="dxa"/>
            <w:tcBorders>
              <w:bottom w:val="single" w:sz="4" w:space="0" w:color="000000" w:themeColor="text1"/>
            </w:tcBorders>
            <w:shd w:val="clear" w:color="auto" w:fill="263F6A"/>
            <w:vAlign w:val="center"/>
          </w:tcPr>
          <w:p w14:paraId="17D7A5CB" w14:textId="77777777" w:rsidR="003E5EBC" w:rsidRPr="00273454" w:rsidRDefault="003E5EBC" w:rsidP="00836273">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t>1-3</w:t>
            </w:r>
          </w:p>
        </w:tc>
      </w:tr>
      <w:tr w:rsidR="003E5EBC" w:rsidRPr="00E713FD" w14:paraId="2E43119F" w14:textId="77777777" w:rsidTr="00F15BC2">
        <w:trPr>
          <w:cantSplit/>
          <w:trHeight w:val="144"/>
        </w:trPr>
        <w:tc>
          <w:tcPr>
            <w:tcW w:w="13590" w:type="dxa"/>
            <w:shd w:val="clear" w:color="auto" w:fill="DBE5F1" w:themeFill="accent1" w:themeFillTint="33"/>
            <w:vAlign w:val="center"/>
          </w:tcPr>
          <w:p w14:paraId="6BD98594" w14:textId="77777777" w:rsidR="003E5EBC" w:rsidRPr="00AA6020" w:rsidRDefault="003E5EBC" w:rsidP="00DE6086">
            <w:pPr>
              <w:pBdr>
                <w:top w:val="nil"/>
                <w:left w:val="nil"/>
                <w:bottom w:val="nil"/>
                <w:right w:val="nil"/>
                <w:between w:val="nil"/>
              </w:pBdr>
              <w:shd w:val="clear" w:color="auto" w:fill="DBE5F1" w:themeFill="accent1" w:themeFillTint="33"/>
              <w:spacing w:before="80" w:after="80" w:line="240" w:lineRule="auto"/>
              <w:rPr>
                <w:rFonts w:eastAsia="Palatino Linotype" w:cs="Palatino Linotype"/>
                <w:b/>
                <w:bCs w:val="0"/>
                <w:color w:val="000000"/>
              </w:rPr>
            </w:pPr>
            <w:r w:rsidRPr="00AA6020">
              <w:rPr>
                <w:rFonts w:eastAsia="Palatino Linotype" w:cs="Palatino Linotype"/>
                <w:b/>
                <w:bCs w:val="0"/>
                <w:color w:val="000000"/>
              </w:rPr>
              <w:t xml:space="preserve">1.  Task/Challenge/Driving Question </w:t>
            </w:r>
          </w:p>
        </w:tc>
        <w:tc>
          <w:tcPr>
            <w:tcW w:w="810" w:type="dxa"/>
            <w:shd w:val="clear" w:color="auto" w:fill="DBE5F1" w:themeFill="accent1" w:themeFillTint="33"/>
            <w:vAlign w:val="center"/>
          </w:tcPr>
          <w:p w14:paraId="12E675D4" w14:textId="77777777" w:rsidR="003E5EBC" w:rsidRPr="00E713FD" w:rsidRDefault="003E5EBC" w:rsidP="00F15BC2">
            <w:pPr>
              <w:pBdr>
                <w:top w:val="nil"/>
                <w:left w:val="nil"/>
                <w:bottom w:val="nil"/>
                <w:right w:val="nil"/>
                <w:between w:val="nil"/>
              </w:pBdr>
              <w:shd w:val="clear" w:color="auto" w:fill="DBE5F1" w:themeFill="accent1" w:themeFillTint="33"/>
              <w:spacing w:before="80" w:after="80" w:line="240" w:lineRule="auto"/>
              <w:rPr>
                <w:rFonts w:eastAsia="Palatino Linotype" w:cs="Palatino Linotype"/>
                <w:b/>
                <w:color w:val="000000"/>
              </w:rPr>
            </w:pPr>
          </w:p>
        </w:tc>
      </w:tr>
      <w:tr w:rsidR="003E5EBC" w:rsidRPr="00E713FD" w14:paraId="413D6C5A" w14:textId="77777777" w:rsidTr="00284309">
        <w:trPr>
          <w:cantSplit/>
          <w:trHeight w:val="144"/>
        </w:trPr>
        <w:tc>
          <w:tcPr>
            <w:tcW w:w="13590" w:type="dxa"/>
            <w:tcBorders>
              <w:bottom w:val="single" w:sz="4" w:space="0" w:color="000000" w:themeColor="text1"/>
            </w:tcBorders>
            <w:vAlign w:val="center"/>
          </w:tcPr>
          <w:p w14:paraId="5E07BECD" w14:textId="77777777" w:rsidR="003E5EBC" w:rsidRPr="00AA6020" w:rsidRDefault="003E5EBC" w:rsidP="00C315FC">
            <w:pPr>
              <w:widowControl w:val="0"/>
              <w:pBdr>
                <w:top w:val="nil"/>
                <w:left w:val="nil"/>
                <w:bottom w:val="nil"/>
                <w:right w:val="nil"/>
                <w:between w:val="nil"/>
              </w:pBdr>
              <w:spacing w:before="80" w:after="80" w:line="240" w:lineRule="auto"/>
              <w:rPr>
                <w:rFonts w:eastAsia="Palatino Linotype" w:cs="Palatino Linotype"/>
                <w:color w:val="000000"/>
              </w:rPr>
            </w:pPr>
            <w:r w:rsidRPr="00AA6020">
              <w:rPr>
                <w:rFonts w:eastAsia="Palatino Linotype" w:cs="Palatino Linotype"/>
                <w:color w:val="000000"/>
              </w:rPr>
              <w:t xml:space="preserve">The assessment stems from a teacher- or student-developed task, challenge, or driving question. </w:t>
            </w:r>
          </w:p>
        </w:tc>
        <w:tc>
          <w:tcPr>
            <w:tcW w:w="810" w:type="dxa"/>
            <w:tcBorders>
              <w:bottom w:val="single" w:sz="4" w:space="0" w:color="000000" w:themeColor="text1"/>
            </w:tcBorders>
            <w:vAlign w:val="center"/>
          </w:tcPr>
          <w:p w14:paraId="6A2FA798" w14:textId="77777777" w:rsidR="003E5EBC" w:rsidRPr="00E713FD" w:rsidRDefault="003E5EBC" w:rsidP="00C315FC">
            <w:pPr>
              <w:pBdr>
                <w:top w:val="nil"/>
                <w:left w:val="nil"/>
                <w:bottom w:val="nil"/>
                <w:right w:val="nil"/>
                <w:between w:val="nil"/>
              </w:pBdr>
              <w:spacing w:before="80" w:after="80" w:line="240" w:lineRule="auto"/>
              <w:rPr>
                <w:rFonts w:eastAsia="Palatino Linotype" w:cs="Palatino Linotype"/>
                <w:b/>
                <w:color w:val="000000"/>
              </w:rPr>
            </w:pPr>
          </w:p>
        </w:tc>
      </w:tr>
      <w:tr w:rsidR="003E5EBC" w:rsidRPr="00E713FD" w14:paraId="71A37748" w14:textId="77777777" w:rsidTr="00284309">
        <w:trPr>
          <w:cantSplit/>
          <w:trHeight w:val="144"/>
        </w:trPr>
        <w:tc>
          <w:tcPr>
            <w:tcW w:w="13590" w:type="dxa"/>
            <w:tcBorders>
              <w:bottom w:val="single" w:sz="4" w:space="0" w:color="000000" w:themeColor="text1"/>
            </w:tcBorders>
            <w:vAlign w:val="center"/>
          </w:tcPr>
          <w:p w14:paraId="6C729561" w14:textId="77777777" w:rsidR="003E5EBC" w:rsidRDefault="003E5EBC" w:rsidP="00C315FC">
            <w:pPr>
              <w:widowControl w:val="0"/>
              <w:pBdr>
                <w:top w:val="nil"/>
                <w:left w:val="nil"/>
                <w:bottom w:val="nil"/>
                <w:right w:val="nil"/>
                <w:between w:val="nil"/>
              </w:pBdr>
              <w:spacing w:before="80" w:after="80" w:line="240" w:lineRule="auto"/>
              <w:rPr>
                <w:rFonts w:eastAsia="Palatino Linotype" w:cs="Palatino Linotype"/>
                <w:color w:val="000000"/>
              </w:rPr>
            </w:pPr>
            <w:r w:rsidRPr="21658F74">
              <w:rPr>
                <w:rFonts w:eastAsia="Palatino Linotype" w:cs="Palatino Linotype"/>
                <w:color w:val="000000" w:themeColor="text1"/>
              </w:rPr>
              <w:t xml:space="preserve">There is no single answer or solution to the task, challenge, or driving question; students must develop an original response. </w:t>
            </w:r>
          </w:p>
        </w:tc>
        <w:tc>
          <w:tcPr>
            <w:tcW w:w="810" w:type="dxa"/>
            <w:tcBorders>
              <w:bottom w:val="single" w:sz="4" w:space="0" w:color="000000" w:themeColor="text1"/>
            </w:tcBorders>
            <w:vAlign w:val="center"/>
          </w:tcPr>
          <w:p w14:paraId="02D99E88" w14:textId="77777777" w:rsidR="003E5EBC" w:rsidRPr="00E713FD" w:rsidRDefault="003E5EBC" w:rsidP="00C315FC">
            <w:pPr>
              <w:pBdr>
                <w:top w:val="nil"/>
                <w:left w:val="nil"/>
                <w:bottom w:val="nil"/>
                <w:right w:val="nil"/>
                <w:between w:val="nil"/>
              </w:pBdr>
              <w:spacing w:before="80" w:after="80" w:line="240" w:lineRule="auto"/>
              <w:rPr>
                <w:rFonts w:eastAsia="Palatino Linotype" w:cs="Palatino Linotype"/>
                <w:b/>
                <w:color w:val="000000"/>
              </w:rPr>
            </w:pPr>
          </w:p>
        </w:tc>
      </w:tr>
      <w:tr w:rsidR="003E5EBC" w14:paraId="190B93D2" w14:textId="77777777" w:rsidTr="00284309">
        <w:trPr>
          <w:cantSplit/>
        </w:trPr>
        <w:tc>
          <w:tcPr>
            <w:tcW w:w="13590" w:type="dxa"/>
            <w:tcBorders>
              <w:bottom w:val="single" w:sz="4" w:space="0" w:color="000000" w:themeColor="text1"/>
            </w:tcBorders>
          </w:tcPr>
          <w:p w14:paraId="272407FC" w14:textId="77777777" w:rsidR="003E5EBC" w:rsidRDefault="003E5EBC" w:rsidP="00836273">
            <w:pPr>
              <w:rPr>
                <w:rFonts w:eastAsia="Palatino Linotype" w:cs="Palatino Linotype"/>
                <w:b/>
                <w:color w:val="000000" w:themeColor="text1"/>
              </w:rPr>
            </w:pPr>
            <w:r w:rsidRPr="2DCA1921">
              <w:rPr>
                <w:rFonts w:eastAsia="Palatino Linotype" w:cs="Palatino Linotype"/>
                <w:b/>
                <w:color w:val="000000" w:themeColor="text1"/>
              </w:rPr>
              <w:t xml:space="preserve">Teacher Reflections: </w:t>
            </w:r>
          </w:p>
          <w:p w14:paraId="2C531EA6" w14:textId="77777777" w:rsidR="003E5EBC" w:rsidRDefault="003E5EBC" w:rsidP="00836273">
            <w:pPr>
              <w:rPr>
                <w:rFonts w:eastAsia="Palatino Linotype" w:cs="Palatino Linotype"/>
                <w:color w:val="000000" w:themeColor="text1"/>
              </w:rPr>
            </w:pPr>
          </w:p>
        </w:tc>
        <w:tc>
          <w:tcPr>
            <w:tcW w:w="810" w:type="dxa"/>
            <w:tcBorders>
              <w:bottom w:val="single" w:sz="4" w:space="0" w:color="000000" w:themeColor="text1"/>
            </w:tcBorders>
          </w:tcPr>
          <w:p w14:paraId="0BCB8074" w14:textId="77777777" w:rsidR="003E5EBC" w:rsidRDefault="003E5EBC" w:rsidP="00836273">
            <w:pPr>
              <w:jc w:val="center"/>
              <w:rPr>
                <w:rFonts w:eastAsia="Palatino Linotype" w:cs="Palatino Linotype"/>
                <w:b/>
                <w:color w:val="000000" w:themeColor="text1"/>
              </w:rPr>
            </w:pPr>
          </w:p>
        </w:tc>
      </w:tr>
      <w:tr w:rsidR="00F15BC2" w:rsidRPr="00E713FD" w14:paraId="444903F8" w14:textId="77777777" w:rsidTr="00F15BC2">
        <w:trPr>
          <w:cantSplit/>
        </w:trPr>
        <w:tc>
          <w:tcPr>
            <w:tcW w:w="13590" w:type="dxa"/>
            <w:shd w:val="clear" w:color="auto" w:fill="DBE5F1" w:themeFill="accent1" w:themeFillTint="33"/>
            <w:vAlign w:val="center"/>
          </w:tcPr>
          <w:p w14:paraId="628C5F01" w14:textId="51536F2C" w:rsidR="00F15BC2" w:rsidRPr="00AA6020" w:rsidRDefault="00F15BC2" w:rsidP="00F15BC2">
            <w:pPr>
              <w:pBdr>
                <w:top w:val="nil"/>
                <w:left w:val="nil"/>
                <w:bottom w:val="nil"/>
                <w:right w:val="nil"/>
                <w:between w:val="nil"/>
              </w:pBdr>
              <w:shd w:val="clear" w:color="auto" w:fill="DBE5F1" w:themeFill="accent1" w:themeFillTint="33"/>
              <w:tabs>
                <w:tab w:val="left" w:pos="3480"/>
              </w:tabs>
              <w:spacing w:before="80" w:after="80"/>
              <w:rPr>
                <w:rFonts w:eastAsia="Palatino Linotype" w:cs="Palatino Linotype"/>
                <w:b/>
                <w:bCs w:val="0"/>
                <w:color w:val="000000"/>
              </w:rPr>
            </w:pPr>
            <w:r>
              <w:rPr>
                <w:rFonts w:eastAsia="Palatino Linotype" w:cs="Palatino Linotype"/>
                <w:b/>
                <w:bCs w:val="0"/>
                <w:color w:val="000000"/>
              </w:rPr>
              <w:t>2</w:t>
            </w:r>
            <w:r w:rsidRPr="00AA6020">
              <w:rPr>
                <w:rFonts w:eastAsia="Palatino Linotype" w:cs="Palatino Linotype"/>
                <w:b/>
                <w:bCs w:val="0"/>
                <w:color w:val="000000"/>
              </w:rPr>
              <w:t>.  Assessment Tools</w:t>
            </w:r>
          </w:p>
        </w:tc>
        <w:tc>
          <w:tcPr>
            <w:tcW w:w="810" w:type="dxa"/>
            <w:shd w:val="clear" w:color="auto" w:fill="DBE5F1" w:themeFill="accent1" w:themeFillTint="33"/>
            <w:vAlign w:val="center"/>
          </w:tcPr>
          <w:p w14:paraId="3E259EC7"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41A0A131" w14:textId="77777777" w:rsidTr="00F15BC2">
        <w:trPr>
          <w:cantSplit/>
        </w:trPr>
        <w:tc>
          <w:tcPr>
            <w:tcW w:w="13590" w:type="dxa"/>
            <w:shd w:val="clear" w:color="auto" w:fill="auto"/>
            <w:vAlign w:val="center"/>
          </w:tcPr>
          <w:p w14:paraId="77065E8B" w14:textId="5B09905F" w:rsidR="00F15BC2" w:rsidRPr="00AA6020" w:rsidRDefault="00F15BC2" w:rsidP="00F15BC2">
            <w:pPr>
              <w:pBdr>
                <w:top w:val="nil"/>
                <w:left w:val="nil"/>
                <w:bottom w:val="nil"/>
                <w:right w:val="nil"/>
                <w:between w:val="nil"/>
              </w:pBdr>
              <w:tabs>
                <w:tab w:val="left" w:pos="3480"/>
              </w:tabs>
              <w:spacing w:before="80" w:after="80"/>
              <w:rPr>
                <w:rFonts w:eastAsia="Palatino Linotype" w:cs="Palatino Linotype"/>
                <w:b/>
                <w:bCs w:val="0"/>
                <w:color w:val="000000"/>
              </w:rPr>
            </w:pPr>
            <w:r w:rsidRPr="30135D10">
              <w:rPr>
                <w:rFonts w:eastAsia="Palatino Linotype" w:cs="Palatino Linotype"/>
                <w:color w:val="000000" w:themeColor="text1"/>
              </w:rPr>
              <w:t>Scoring criteria are related to the proficiencies and communicated effectively.</w:t>
            </w:r>
          </w:p>
        </w:tc>
        <w:tc>
          <w:tcPr>
            <w:tcW w:w="810" w:type="dxa"/>
            <w:shd w:val="clear" w:color="auto" w:fill="auto"/>
            <w:vAlign w:val="center"/>
          </w:tcPr>
          <w:p w14:paraId="4A65E21F"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2D325B12" w14:textId="77777777" w:rsidTr="00F15BC2">
        <w:trPr>
          <w:cantSplit/>
        </w:trPr>
        <w:tc>
          <w:tcPr>
            <w:tcW w:w="13590" w:type="dxa"/>
            <w:shd w:val="clear" w:color="auto" w:fill="auto"/>
            <w:vAlign w:val="center"/>
          </w:tcPr>
          <w:p w14:paraId="18F47DBB" w14:textId="77777777" w:rsidR="00F15BC2" w:rsidRDefault="00F15BC2" w:rsidP="00F15BC2">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437302DE" w14:textId="77777777" w:rsidR="00F15BC2" w:rsidRPr="00AA6020" w:rsidRDefault="00F15BC2" w:rsidP="00F15BC2">
            <w:pPr>
              <w:pBdr>
                <w:top w:val="nil"/>
                <w:left w:val="nil"/>
                <w:bottom w:val="nil"/>
                <w:right w:val="nil"/>
                <w:between w:val="nil"/>
              </w:pBdr>
              <w:tabs>
                <w:tab w:val="left" w:pos="3480"/>
              </w:tabs>
              <w:spacing w:before="80" w:after="80"/>
              <w:rPr>
                <w:rFonts w:eastAsia="Palatino Linotype" w:cs="Palatino Linotype"/>
                <w:b/>
                <w:bCs w:val="0"/>
                <w:color w:val="000000"/>
              </w:rPr>
            </w:pPr>
          </w:p>
        </w:tc>
        <w:tc>
          <w:tcPr>
            <w:tcW w:w="810" w:type="dxa"/>
            <w:shd w:val="clear" w:color="auto" w:fill="auto"/>
            <w:vAlign w:val="center"/>
          </w:tcPr>
          <w:p w14:paraId="2E41CBC0"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4A5D12E5" w14:textId="77777777" w:rsidTr="00F15BC2">
        <w:trPr>
          <w:cantSplit/>
        </w:trPr>
        <w:tc>
          <w:tcPr>
            <w:tcW w:w="13590" w:type="dxa"/>
            <w:shd w:val="clear" w:color="auto" w:fill="DBE5F1" w:themeFill="accent1" w:themeFillTint="33"/>
            <w:vAlign w:val="center"/>
          </w:tcPr>
          <w:p w14:paraId="6C32A32C" w14:textId="1832A76E" w:rsidR="00F15BC2" w:rsidRPr="00AA6020" w:rsidRDefault="00F15BC2" w:rsidP="00F15BC2">
            <w:pPr>
              <w:pBdr>
                <w:top w:val="nil"/>
                <w:left w:val="nil"/>
                <w:bottom w:val="nil"/>
                <w:right w:val="nil"/>
                <w:between w:val="nil"/>
              </w:pBdr>
              <w:shd w:val="clear" w:color="auto" w:fill="DBE5F1" w:themeFill="accent1" w:themeFillTint="33"/>
              <w:tabs>
                <w:tab w:val="left" w:pos="3480"/>
              </w:tabs>
              <w:spacing w:before="80" w:after="80"/>
              <w:rPr>
                <w:rFonts w:eastAsia="Palatino Linotype" w:cs="Palatino Linotype"/>
                <w:b/>
                <w:bCs w:val="0"/>
                <w:color w:val="000000"/>
              </w:rPr>
            </w:pPr>
            <w:r>
              <w:rPr>
                <w:rFonts w:eastAsia="Palatino Linotype" w:cs="Palatino Linotype"/>
                <w:b/>
                <w:bCs w:val="0"/>
                <w:color w:val="000000"/>
              </w:rPr>
              <w:t>3</w:t>
            </w:r>
            <w:r w:rsidRPr="00AA6020">
              <w:rPr>
                <w:rFonts w:eastAsia="Palatino Linotype" w:cs="Palatino Linotype"/>
                <w:b/>
                <w:bCs w:val="0"/>
                <w:color w:val="000000"/>
              </w:rPr>
              <w:t xml:space="preserve">.  Learning Targets </w:t>
            </w:r>
          </w:p>
        </w:tc>
        <w:tc>
          <w:tcPr>
            <w:tcW w:w="810" w:type="dxa"/>
            <w:shd w:val="clear" w:color="auto" w:fill="DBE5F1" w:themeFill="accent1" w:themeFillTint="33"/>
            <w:vAlign w:val="center"/>
          </w:tcPr>
          <w:p w14:paraId="6DAABE8D"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123BBB11" w14:textId="77777777" w:rsidTr="00284309">
        <w:trPr>
          <w:cantSplit/>
        </w:trPr>
        <w:tc>
          <w:tcPr>
            <w:tcW w:w="13590" w:type="dxa"/>
            <w:shd w:val="clear" w:color="auto" w:fill="FFFFFF" w:themeFill="background1"/>
            <w:vAlign w:val="center"/>
          </w:tcPr>
          <w:p w14:paraId="6FAAB5C7" w14:textId="77777777" w:rsidR="00F15BC2" w:rsidRPr="00E713FD" w:rsidRDefault="00F15BC2" w:rsidP="00F15BC2">
            <w:pPr>
              <w:widowControl w:val="0"/>
              <w:pBdr>
                <w:top w:val="nil"/>
                <w:left w:val="nil"/>
                <w:bottom w:val="nil"/>
                <w:right w:val="nil"/>
                <w:between w:val="nil"/>
              </w:pBdr>
              <w:spacing w:before="80" w:after="80"/>
              <w:rPr>
                <w:rFonts w:eastAsia="Palatino Linotype" w:cs="Palatino Linotype"/>
                <w:color w:val="000000"/>
              </w:rPr>
            </w:pPr>
            <w:r>
              <w:rPr>
                <w:rFonts w:eastAsia="Palatino Linotype" w:cs="Palatino Linotype"/>
                <w:color w:val="000000"/>
              </w:rPr>
              <w:t>T</w:t>
            </w:r>
            <w:r w:rsidRPr="00E713FD">
              <w:rPr>
                <w:rFonts w:eastAsia="Palatino Linotype" w:cs="Palatino Linotype"/>
                <w:color w:val="000000"/>
              </w:rPr>
              <w:t>he standards/proficiencies and transferable skills that will be assessed</w:t>
            </w:r>
            <w:r>
              <w:rPr>
                <w:rFonts w:eastAsia="Palatino Linotype" w:cs="Palatino Linotype"/>
                <w:color w:val="000000"/>
              </w:rPr>
              <w:t xml:space="preserve"> are</w:t>
            </w:r>
            <w:r w:rsidRPr="00E713FD">
              <w:rPr>
                <w:rFonts w:eastAsia="Palatino Linotype" w:cs="Palatino Linotype"/>
                <w:color w:val="000000"/>
              </w:rPr>
              <w:t xml:space="preserve"> </w:t>
            </w:r>
            <w:r>
              <w:rPr>
                <w:rFonts w:eastAsia="Palatino Linotype" w:cs="Palatino Linotype"/>
                <w:color w:val="000000"/>
              </w:rPr>
              <w:t xml:space="preserve">evident in the learning targets. </w:t>
            </w:r>
          </w:p>
        </w:tc>
        <w:tc>
          <w:tcPr>
            <w:tcW w:w="810" w:type="dxa"/>
            <w:vAlign w:val="center"/>
          </w:tcPr>
          <w:p w14:paraId="030C844A"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063882C7" w14:textId="77777777" w:rsidTr="00284309">
        <w:tc>
          <w:tcPr>
            <w:tcW w:w="13590" w:type="dxa"/>
            <w:shd w:val="clear" w:color="auto" w:fill="FFFFFF" w:themeFill="background1"/>
            <w:vAlign w:val="center"/>
          </w:tcPr>
          <w:p w14:paraId="188426CA" w14:textId="77777777" w:rsidR="00F15BC2" w:rsidRDefault="00F15BC2" w:rsidP="00F15BC2">
            <w:pPr>
              <w:widowControl w:val="0"/>
              <w:pBdr>
                <w:top w:val="nil"/>
                <w:left w:val="nil"/>
                <w:bottom w:val="nil"/>
                <w:right w:val="nil"/>
                <w:between w:val="nil"/>
              </w:pBdr>
              <w:spacing w:before="80" w:after="80"/>
              <w:rPr>
                <w:rFonts w:eastAsia="Palatino Linotype" w:cs="Palatino Linotype"/>
                <w:color w:val="000000"/>
              </w:rPr>
            </w:pPr>
            <w:r w:rsidRPr="30135D10">
              <w:rPr>
                <w:rFonts w:eastAsia="Palatino Linotype" w:cs="Palatino Linotype"/>
                <w:color w:val="000000" w:themeColor="text1"/>
              </w:rPr>
              <w:t xml:space="preserve">The rigor of the targets is matched to the grade-level proficiencies that are being assessed. </w:t>
            </w:r>
          </w:p>
        </w:tc>
        <w:tc>
          <w:tcPr>
            <w:tcW w:w="810" w:type="dxa"/>
            <w:vAlign w:val="center"/>
          </w:tcPr>
          <w:p w14:paraId="20D0D2ED"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14:paraId="1E85B29E" w14:textId="77777777" w:rsidTr="00284309">
        <w:tc>
          <w:tcPr>
            <w:tcW w:w="13590" w:type="dxa"/>
            <w:shd w:val="clear" w:color="auto" w:fill="FFFFFF" w:themeFill="background1"/>
          </w:tcPr>
          <w:p w14:paraId="40FDB401" w14:textId="77777777" w:rsidR="00F15BC2" w:rsidRDefault="00F15BC2" w:rsidP="00F15BC2">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5FEF6E8A" w14:textId="77777777" w:rsidR="00F15BC2" w:rsidRDefault="00F15BC2" w:rsidP="00F15BC2">
            <w:pPr>
              <w:rPr>
                <w:rFonts w:eastAsia="Palatino Linotype" w:cs="Palatino Linotype"/>
                <w:b/>
                <w:color w:val="000000" w:themeColor="text1"/>
              </w:rPr>
            </w:pPr>
          </w:p>
        </w:tc>
        <w:tc>
          <w:tcPr>
            <w:tcW w:w="810" w:type="dxa"/>
          </w:tcPr>
          <w:p w14:paraId="7F709EB6" w14:textId="77777777" w:rsidR="00F15BC2" w:rsidRDefault="00F15BC2" w:rsidP="00F15BC2">
            <w:pPr>
              <w:jc w:val="center"/>
              <w:rPr>
                <w:rFonts w:eastAsia="Palatino Linotype" w:cs="Palatino Linotype"/>
                <w:b/>
                <w:color w:val="000000" w:themeColor="text1"/>
              </w:rPr>
            </w:pPr>
          </w:p>
        </w:tc>
      </w:tr>
      <w:tr w:rsidR="00F15BC2" w14:paraId="67DA00E0" w14:textId="77777777" w:rsidTr="00F15BC2">
        <w:tc>
          <w:tcPr>
            <w:tcW w:w="13590" w:type="dxa"/>
            <w:shd w:val="clear" w:color="auto" w:fill="DBE5F1" w:themeFill="accent1" w:themeFillTint="33"/>
            <w:vAlign w:val="center"/>
          </w:tcPr>
          <w:p w14:paraId="71E662F1" w14:textId="1F811A99" w:rsidR="00F15BC2" w:rsidRPr="2DCA1921" w:rsidRDefault="00F15BC2" w:rsidP="00F15BC2">
            <w:pPr>
              <w:rPr>
                <w:rFonts w:eastAsia="Palatino Linotype" w:cs="Palatino Linotype"/>
                <w:b/>
                <w:color w:val="000000" w:themeColor="text1"/>
              </w:rPr>
            </w:pPr>
            <w:r>
              <w:rPr>
                <w:rFonts w:eastAsia="Palatino Linotype" w:cs="Palatino Linotype"/>
                <w:b/>
                <w:bCs w:val="0"/>
                <w:color w:val="000000"/>
              </w:rPr>
              <w:t>4</w:t>
            </w:r>
            <w:r w:rsidRPr="00AA6020">
              <w:rPr>
                <w:rFonts w:eastAsia="Palatino Linotype" w:cs="Palatino Linotype"/>
                <w:b/>
                <w:bCs w:val="0"/>
                <w:color w:val="000000"/>
              </w:rPr>
              <w:t xml:space="preserve">.  Foundational Knowledge and Skills </w:t>
            </w:r>
          </w:p>
        </w:tc>
        <w:tc>
          <w:tcPr>
            <w:tcW w:w="810" w:type="dxa"/>
            <w:shd w:val="clear" w:color="auto" w:fill="DBE5F1" w:themeFill="accent1" w:themeFillTint="33"/>
          </w:tcPr>
          <w:p w14:paraId="2E6EB31C" w14:textId="77777777" w:rsidR="00F15BC2" w:rsidRDefault="00F15BC2" w:rsidP="00F15BC2">
            <w:pPr>
              <w:jc w:val="center"/>
              <w:rPr>
                <w:rFonts w:eastAsia="Palatino Linotype" w:cs="Palatino Linotype"/>
                <w:b/>
                <w:color w:val="000000" w:themeColor="text1"/>
              </w:rPr>
            </w:pPr>
          </w:p>
        </w:tc>
      </w:tr>
      <w:tr w:rsidR="00F15BC2" w14:paraId="1DC50F7D" w14:textId="77777777" w:rsidTr="009E0CD8">
        <w:tc>
          <w:tcPr>
            <w:tcW w:w="13590" w:type="dxa"/>
            <w:shd w:val="clear" w:color="auto" w:fill="FFFFFF" w:themeFill="background1"/>
            <w:vAlign w:val="center"/>
          </w:tcPr>
          <w:p w14:paraId="32C15671" w14:textId="2BEFFD29" w:rsidR="00F15BC2" w:rsidRPr="00AA6020" w:rsidRDefault="00F15BC2" w:rsidP="00F15BC2">
            <w:pPr>
              <w:rPr>
                <w:rFonts w:eastAsia="Palatino Linotype" w:cs="Palatino Linotype"/>
                <w:b/>
                <w:bCs w:val="0"/>
                <w:color w:val="000000"/>
              </w:rPr>
            </w:pPr>
            <w:r w:rsidRPr="2DCA1921">
              <w:rPr>
                <w:rFonts w:eastAsia="Palatino Linotype" w:cs="Palatino Linotype"/>
                <w:color w:val="000000" w:themeColor="text1"/>
              </w:rPr>
              <w:t xml:space="preserve">The performance assessment extends prior learning. </w:t>
            </w:r>
          </w:p>
        </w:tc>
        <w:tc>
          <w:tcPr>
            <w:tcW w:w="810" w:type="dxa"/>
          </w:tcPr>
          <w:p w14:paraId="3E1DF176" w14:textId="77777777" w:rsidR="00F15BC2" w:rsidRDefault="00F15BC2" w:rsidP="00F15BC2">
            <w:pPr>
              <w:jc w:val="center"/>
              <w:rPr>
                <w:rFonts w:eastAsia="Palatino Linotype" w:cs="Palatino Linotype"/>
                <w:b/>
                <w:color w:val="000000" w:themeColor="text1"/>
              </w:rPr>
            </w:pPr>
          </w:p>
        </w:tc>
      </w:tr>
      <w:tr w:rsidR="00F15BC2" w14:paraId="5103EA1A" w14:textId="77777777" w:rsidTr="009E0CD8">
        <w:tc>
          <w:tcPr>
            <w:tcW w:w="13590" w:type="dxa"/>
            <w:shd w:val="clear" w:color="auto" w:fill="FFFFFF" w:themeFill="background1"/>
          </w:tcPr>
          <w:p w14:paraId="1E38BFA3" w14:textId="77777777" w:rsidR="00F15BC2" w:rsidRDefault="00F15BC2" w:rsidP="00F15BC2">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1CF106D8" w14:textId="77777777" w:rsidR="00F15BC2" w:rsidRPr="2DCA1921" w:rsidRDefault="00F15BC2" w:rsidP="00F15BC2">
            <w:pPr>
              <w:rPr>
                <w:rFonts w:eastAsia="Palatino Linotype" w:cs="Palatino Linotype"/>
                <w:color w:val="000000" w:themeColor="text1"/>
              </w:rPr>
            </w:pPr>
          </w:p>
        </w:tc>
        <w:tc>
          <w:tcPr>
            <w:tcW w:w="810" w:type="dxa"/>
          </w:tcPr>
          <w:p w14:paraId="65A04856" w14:textId="77777777" w:rsidR="00F15BC2" w:rsidRDefault="00F15BC2" w:rsidP="00F15BC2">
            <w:pPr>
              <w:jc w:val="center"/>
              <w:rPr>
                <w:rFonts w:eastAsia="Palatino Linotype" w:cs="Palatino Linotype"/>
                <w:b/>
                <w:color w:val="000000" w:themeColor="text1"/>
              </w:rPr>
            </w:pPr>
          </w:p>
        </w:tc>
      </w:tr>
    </w:tbl>
    <w:p w14:paraId="3202DD74" w14:textId="77777777" w:rsidR="00E34526" w:rsidRDefault="00E34526"/>
    <w:tbl>
      <w:tblPr>
        <w:tblW w:w="144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90"/>
        <w:gridCol w:w="810"/>
      </w:tblGrid>
      <w:tr w:rsidR="00E34526" w:rsidRPr="00E713FD" w14:paraId="44D99093" w14:textId="77777777" w:rsidTr="00836273">
        <w:trPr>
          <w:cantSplit/>
          <w:tblHeader/>
        </w:trPr>
        <w:tc>
          <w:tcPr>
            <w:tcW w:w="13590" w:type="dxa"/>
            <w:tcBorders>
              <w:bottom w:val="single" w:sz="4" w:space="0" w:color="000000" w:themeColor="text1"/>
            </w:tcBorders>
            <w:shd w:val="clear" w:color="auto" w:fill="263F6A"/>
            <w:vAlign w:val="center"/>
          </w:tcPr>
          <w:p w14:paraId="2FF5DEFB" w14:textId="77777777" w:rsidR="00E34526" w:rsidRPr="00273454" w:rsidRDefault="00E34526" w:rsidP="00836273">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lastRenderedPageBreak/>
              <w:t xml:space="preserve">Assessment Plan </w:t>
            </w:r>
            <w:r w:rsidRPr="00273454">
              <w:rPr>
                <w:rFonts w:eastAsia="Source Sans Pro" w:cs="Source Sans Pro"/>
                <w:b/>
                <w:color w:val="FFFFFF" w:themeColor="background1"/>
                <w:sz w:val="24"/>
                <w:szCs w:val="24"/>
              </w:rPr>
              <w:t>Criteria</w:t>
            </w:r>
          </w:p>
        </w:tc>
        <w:tc>
          <w:tcPr>
            <w:tcW w:w="810" w:type="dxa"/>
            <w:tcBorders>
              <w:bottom w:val="single" w:sz="4" w:space="0" w:color="000000" w:themeColor="text1"/>
            </w:tcBorders>
            <w:shd w:val="clear" w:color="auto" w:fill="263F6A"/>
            <w:vAlign w:val="center"/>
          </w:tcPr>
          <w:p w14:paraId="06780161" w14:textId="77777777" w:rsidR="00E34526" w:rsidRPr="00273454" w:rsidRDefault="00E34526" w:rsidP="00836273">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t>1-3</w:t>
            </w:r>
          </w:p>
        </w:tc>
      </w:tr>
      <w:tr w:rsidR="00F15BC2" w:rsidRPr="00E713FD" w14:paraId="1B93B3A9" w14:textId="77777777" w:rsidTr="00F15BC2">
        <w:tc>
          <w:tcPr>
            <w:tcW w:w="13590" w:type="dxa"/>
            <w:shd w:val="clear" w:color="auto" w:fill="DBE5F1" w:themeFill="accent1" w:themeFillTint="33"/>
            <w:vAlign w:val="center"/>
          </w:tcPr>
          <w:p w14:paraId="51BDBCD3" w14:textId="40BDD17C" w:rsidR="00F15BC2" w:rsidRPr="00AA6020" w:rsidRDefault="00F15BC2" w:rsidP="00F15BC2">
            <w:pPr>
              <w:pBdr>
                <w:top w:val="nil"/>
                <w:left w:val="nil"/>
                <w:bottom w:val="nil"/>
                <w:right w:val="nil"/>
                <w:between w:val="nil"/>
              </w:pBdr>
              <w:spacing w:before="80" w:after="80"/>
              <w:rPr>
                <w:rFonts w:eastAsia="Palatino Linotype" w:cs="Palatino Linotype"/>
                <w:b/>
                <w:bCs w:val="0"/>
                <w:color w:val="000000"/>
              </w:rPr>
            </w:pPr>
            <w:r>
              <w:rPr>
                <w:rFonts w:eastAsia="Palatino Linotype" w:cs="Palatino Linotype"/>
                <w:b/>
                <w:bCs w:val="0"/>
                <w:color w:val="000000"/>
              </w:rPr>
              <w:t>5</w:t>
            </w:r>
            <w:r w:rsidRPr="00AA6020">
              <w:rPr>
                <w:rFonts w:eastAsia="Palatino Linotype" w:cs="Palatino Linotype"/>
                <w:b/>
                <w:bCs w:val="0"/>
                <w:color w:val="000000"/>
              </w:rPr>
              <w:t xml:space="preserve">. Audience </w:t>
            </w:r>
          </w:p>
        </w:tc>
        <w:tc>
          <w:tcPr>
            <w:tcW w:w="810" w:type="dxa"/>
            <w:shd w:val="clear" w:color="auto" w:fill="DBE5F1" w:themeFill="accent1" w:themeFillTint="33"/>
            <w:vAlign w:val="center"/>
          </w:tcPr>
          <w:p w14:paraId="7701CFF4"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1F51EC38" w14:textId="77777777" w:rsidTr="00F15BC2">
        <w:tc>
          <w:tcPr>
            <w:tcW w:w="13590" w:type="dxa"/>
            <w:shd w:val="clear" w:color="auto" w:fill="auto"/>
            <w:vAlign w:val="center"/>
          </w:tcPr>
          <w:p w14:paraId="04098A75" w14:textId="5B1A301C" w:rsidR="00F15BC2" w:rsidRPr="00AA6020" w:rsidRDefault="00F15BC2" w:rsidP="00F15BC2">
            <w:pPr>
              <w:pBdr>
                <w:top w:val="nil"/>
                <w:left w:val="nil"/>
                <w:bottom w:val="nil"/>
                <w:right w:val="nil"/>
                <w:between w:val="nil"/>
              </w:pBdr>
              <w:spacing w:before="80" w:after="80"/>
              <w:rPr>
                <w:rFonts w:eastAsia="Palatino Linotype" w:cs="Palatino Linotype"/>
                <w:b/>
                <w:bCs w:val="0"/>
                <w:color w:val="000000"/>
              </w:rPr>
            </w:pPr>
            <w:r w:rsidRPr="2DCA1921">
              <w:rPr>
                <w:rFonts w:eastAsia="Palatino Linotype" w:cs="Palatino Linotype"/>
              </w:rPr>
              <w:t xml:space="preserve">Work is presented, displayed, or disseminated to a real or simulated audience other than the teacher. </w:t>
            </w:r>
          </w:p>
        </w:tc>
        <w:tc>
          <w:tcPr>
            <w:tcW w:w="810" w:type="dxa"/>
            <w:shd w:val="clear" w:color="auto" w:fill="auto"/>
            <w:vAlign w:val="center"/>
          </w:tcPr>
          <w:p w14:paraId="7D1164B8"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05CDA18C" w14:textId="77777777" w:rsidTr="00F15BC2">
        <w:tc>
          <w:tcPr>
            <w:tcW w:w="13590" w:type="dxa"/>
            <w:shd w:val="clear" w:color="auto" w:fill="auto"/>
            <w:vAlign w:val="center"/>
          </w:tcPr>
          <w:p w14:paraId="39C2DB5D" w14:textId="16B47CB0" w:rsidR="00F15BC2" w:rsidRPr="00AA6020" w:rsidRDefault="00F15BC2" w:rsidP="00F15BC2">
            <w:pPr>
              <w:pBdr>
                <w:top w:val="nil"/>
                <w:left w:val="nil"/>
                <w:bottom w:val="nil"/>
                <w:right w:val="nil"/>
                <w:between w:val="nil"/>
              </w:pBdr>
              <w:spacing w:before="80" w:after="80"/>
              <w:rPr>
                <w:rFonts w:eastAsia="Palatino Linotype" w:cs="Palatino Linotype"/>
                <w:b/>
                <w:bCs w:val="0"/>
                <w:color w:val="000000"/>
              </w:rPr>
            </w:pPr>
            <w:r w:rsidRPr="30135D10">
              <w:rPr>
                <w:rFonts w:eastAsia="Palatino Linotype" w:cs="Palatino Linotype"/>
              </w:rPr>
              <w:t xml:space="preserve">Students have opportunities to explain the reasoning behind choices they made, inquiry processes, and how/why they applied the content knowledge to their product. </w:t>
            </w:r>
          </w:p>
        </w:tc>
        <w:tc>
          <w:tcPr>
            <w:tcW w:w="810" w:type="dxa"/>
            <w:shd w:val="clear" w:color="auto" w:fill="auto"/>
            <w:vAlign w:val="center"/>
          </w:tcPr>
          <w:p w14:paraId="03664765"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4893D602" w14:textId="77777777" w:rsidTr="00F15BC2">
        <w:tc>
          <w:tcPr>
            <w:tcW w:w="13590" w:type="dxa"/>
            <w:shd w:val="clear" w:color="auto" w:fill="auto"/>
          </w:tcPr>
          <w:p w14:paraId="25202F9A" w14:textId="77777777" w:rsidR="00F15BC2" w:rsidRDefault="00F15BC2" w:rsidP="00F15BC2">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45BA45BB" w14:textId="77777777" w:rsidR="00F15BC2" w:rsidRPr="00AA6020" w:rsidRDefault="00F15BC2" w:rsidP="00F15BC2">
            <w:pPr>
              <w:pBdr>
                <w:top w:val="nil"/>
                <w:left w:val="nil"/>
                <w:bottom w:val="nil"/>
                <w:right w:val="nil"/>
                <w:between w:val="nil"/>
              </w:pBdr>
              <w:spacing w:before="80" w:after="80"/>
              <w:rPr>
                <w:rFonts w:eastAsia="Palatino Linotype" w:cs="Palatino Linotype"/>
                <w:b/>
                <w:bCs w:val="0"/>
                <w:color w:val="000000"/>
              </w:rPr>
            </w:pPr>
          </w:p>
        </w:tc>
        <w:tc>
          <w:tcPr>
            <w:tcW w:w="810" w:type="dxa"/>
            <w:shd w:val="clear" w:color="auto" w:fill="auto"/>
            <w:vAlign w:val="center"/>
          </w:tcPr>
          <w:p w14:paraId="1611EBE8"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577B7774" w14:textId="77777777" w:rsidTr="00F15BC2">
        <w:tc>
          <w:tcPr>
            <w:tcW w:w="13590" w:type="dxa"/>
            <w:shd w:val="clear" w:color="auto" w:fill="DBE5F1" w:themeFill="accent1" w:themeFillTint="33"/>
            <w:vAlign w:val="center"/>
          </w:tcPr>
          <w:p w14:paraId="4DC86C54" w14:textId="77777777" w:rsidR="00F15BC2" w:rsidRPr="00AA6020" w:rsidRDefault="00F15BC2" w:rsidP="00F15BC2">
            <w:pPr>
              <w:widowControl w:val="0"/>
              <w:pBdr>
                <w:top w:val="nil"/>
                <w:left w:val="nil"/>
                <w:bottom w:val="nil"/>
                <w:right w:val="nil"/>
                <w:between w:val="nil"/>
              </w:pBdr>
              <w:spacing w:before="80" w:after="80"/>
              <w:rPr>
                <w:b/>
                <w:bCs w:val="0"/>
                <w:color w:val="404040"/>
              </w:rPr>
            </w:pPr>
            <w:r w:rsidRPr="00AA6020">
              <w:rPr>
                <w:rFonts w:eastAsia="Palatino Linotype" w:cs="Palatino Linotype"/>
                <w:b/>
                <w:bCs w:val="0"/>
                <w:color w:val="000000"/>
              </w:rPr>
              <w:t xml:space="preserve">6. Performance Mode </w:t>
            </w:r>
          </w:p>
        </w:tc>
        <w:tc>
          <w:tcPr>
            <w:tcW w:w="810" w:type="dxa"/>
            <w:shd w:val="clear" w:color="auto" w:fill="DBE5F1" w:themeFill="accent1" w:themeFillTint="33"/>
            <w:vAlign w:val="center"/>
          </w:tcPr>
          <w:p w14:paraId="1CF0A876"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7E5DE2CD" w14:textId="77777777" w:rsidTr="00284309">
        <w:tc>
          <w:tcPr>
            <w:tcW w:w="13590" w:type="dxa"/>
            <w:vAlign w:val="center"/>
          </w:tcPr>
          <w:p w14:paraId="36A28D02" w14:textId="77777777" w:rsidR="00F15BC2" w:rsidRDefault="00F15BC2" w:rsidP="00F15BC2">
            <w:pPr>
              <w:widowControl w:val="0"/>
              <w:pBdr>
                <w:top w:val="nil"/>
                <w:left w:val="nil"/>
                <w:bottom w:val="nil"/>
                <w:right w:val="nil"/>
                <w:between w:val="nil"/>
              </w:pBdr>
              <w:spacing w:before="80" w:after="80"/>
              <w:rPr>
                <w:rFonts w:eastAsia="Palatino Linotype" w:cs="Palatino Linotype"/>
                <w:color w:val="000000"/>
              </w:rPr>
            </w:pPr>
            <w:r w:rsidRPr="21658F74">
              <w:rPr>
                <w:rFonts w:eastAsia="Palatino Linotype" w:cs="Palatino Linotype"/>
                <w:color w:val="000000" w:themeColor="text1"/>
              </w:rPr>
              <w:t xml:space="preserve">Independent and collaborative work phases are identified and communicated to students. </w:t>
            </w:r>
          </w:p>
        </w:tc>
        <w:tc>
          <w:tcPr>
            <w:tcW w:w="810" w:type="dxa"/>
            <w:vAlign w:val="center"/>
          </w:tcPr>
          <w:p w14:paraId="150866D6"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rsidRPr="00E713FD" w14:paraId="003505B1" w14:textId="77777777" w:rsidTr="00284309">
        <w:tc>
          <w:tcPr>
            <w:tcW w:w="13590" w:type="dxa"/>
            <w:vAlign w:val="center"/>
          </w:tcPr>
          <w:p w14:paraId="72D2C21D" w14:textId="77777777" w:rsidR="00F15BC2" w:rsidRDefault="00F15BC2" w:rsidP="00F15BC2">
            <w:pPr>
              <w:widowControl w:val="0"/>
              <w:pBdr>
                <w:top w:val="nil"/>
                <w:left w:val="nil"/>
                <w:bottom w:val="nil"/>
                <w:right w:val="nil"/>
                <w:between w:val="nil"/>
              </w:pBdr>
              <w:spacing w:before="80" w:after="80"/>
              <w:rPr>
                <w:rFonts w:eastAsia="Palatino Linotype" w:cs="Palatino Linotype"/>
                <w:color w:val="000000"/>
              </w:rPr>
            </w:pPr>
            <w:r w:rsidRPr="21658F74">
              <w:rPr>
                <w:rFonts w:eastAsia="Palatino Linotype" w:cs="Palatino Linotype"/>
                <w:color w:val="000000" w:themeColor="text1"/>
              </w:rPr>
              <w:t>Strategies for holding students accountable for their performance, progress, and process on independent and collaborative work are in place.</w:t>
            </w:r>
          </w:p>
        </w:tc>
        <w:tc>
          <w:tcPr>
            <w:tcW w:w="810" w:type="dxa"/>
            <w:vAlign w:val="center"/>
          </w:tcPr>
          <w:p w14:paraId="1A6DC541" w14:textId="77777777" w:rsidR="00F15BC2" w:rsidRPr="00E713FD" w:rsidRDefault="00F15BC2" w:rsidP="00F15BC2">
            <w:pPr>
              <w:pBdr>
                <w:top w:val="nil"/>
                <w:left w:val="nil"/>
                <w:bottom w:val="nil"/>
                <w:right w:val="nil"/>
                <w:between w:val="nil"/>
              </w:pBdr>
              <w:spacing w:before="80" w:after="80"/>
              <w:rPr>
                <w:rFonts w:eastAsia="Palatino Linotype" w:cs="Palatino Linotype"/>
                <w:b/>
                <w:color w:val="000000"/>
              </w:rPr>
            </w:pPr>
          </w:p>
        </w:tc>
      </w:tr>
      <w:tr w:rsidR="00F15BC2" w14:paraId="56223158" w14:textId="77777777" w:rsidTr="00284309">
        <w:tc>
          <w:tcPr>
            <w:tcW w:w="13590" w:type="dxa"/>
          </w:tcPr>
          <w:p w14:paraId="0D27F7D3" w14:textId="77777777" w:rsidR="00F15BC2" w:rsidRDefault="00F15BC2" w:rsidP="00F15BC2">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515B06AF" w14:textId="77777777" w:rsidR="00F15BC2" w:rsidRDefault="00F15BC2" w:rsidP="00F15BC2">
            <w:pPr>
              <w:rPr>
                <w:rFonts w:eastAsia="Palatino Linotype" w:cs="Palatino Linotype"/>
                <w:b/>
                <w:color w:val="000000" w:themeColor="text1"/>
              </w:rPr>
            </w:pPr>
          </w:p>
        </w:tc>
        <w:tc>
          <w:tcPr>
            <w:tcW w:w="810" w:type="dxa"/>
          </w:tcPr>
          <w:p w14:paraId="2C1C5629" w14:textId="77777777" w:rsidR="00F15BC2" w:rsidRDefault="00F15BC2" w:rsidP="00F15BC2">
            <w:pPr>
              <w:jc w:val="center"/>
              <w:rPr>
                <w:rFonts w:eastAsia="Palatino Linotype" w:cs="Palatino Linotype"/>
                <w:b/>
                <w:color w:val="000000" w:themeColor="text1"/>
              </w:rPr>
            </w:pPr>
          </w:p>
        </w:tc>
      </w:tr>
      <w:tr w:rsidR="00F15BC2" w14:paraId="370D26F6" w14:textId="77777777" w:rsidTr="00F15BC2">
        <w:tc>
          <w:tcPr>
            <w:tcW w:w="13590" w:type="dxa"/>
            <w:shd w:val="clear" w:color="auto" w:fill="DBE5F1" w:themeFill="accent1" w:themeFillTint="33"/>
            <w:vAlign w:val="center"/>
          </w:tcPr>
          <w:p w14:paraId="44C18D23" w14:textId="1DDE7968" w:rsidR="00F15BC2" w:rsidRPr="2DCA1921" w:rsidRDefault="00F15BC2" w:rsidP="00F15BC2">
            <w:pPr>
              <w:rPr>
                <w:rFonts w:eastAsia="Palatino Linotype" w:cs="Palatino Linotype"/>
                <w:b/>
                <w:color w:val="000000" w:themeColor="text1"/>
              </w:rPr>
            </w:pPr>
            <w:r>
              <w:rPr>
                <w:rFonts w:eastAsia="Palatino Linotype" w:cs="Palatino Linotype"/>
                <w:b/>
                <w:bCs w:val="0"/>
                <w:color w:val="000000"/>
              </w:rPr>
              <w:t>7</w:t>
            </w:r>
            <w:r w:rsidRPr="00AA6020">
              <w:rPr>
                <w:rFonts w:eastAsia="Palatino Linotype" w:cs="Palatino Linotype"/>
                <w:b/>
                <w:bCs w:val="0"/>
                <w:color w:val="000000"/>
              </w:rPr>
              <w:t xml:space="preserve">. Resources and Materials </w:t>
            </w:r>
          </w:p>
        </w:tc>
        <w:tc>
          <w:tcPr>
            <w:tcW w:w="810" w:type="dxa"/>
            <w:shd w:val="clear" w:color="auto" w:fill="DBE5F1" w:themeFill="accent1" w:themeFillTint="33"/>
          </w:tcPr>
          <w:p w14:paraId="505063B0" w14:textId="77777777" w:rsidR="00F15BC2" w:rsidRDefault="00F15BC2" w:rsidP="00F15BC2">
            <w:pPr>
              <w:jc w:val="center"/>
              <w:rPr>
                <w:rFonts w:eastAsia="Palatino Linotype" w:cs="Palatino Linotype"/>
                <w:b/>
                <w:color w:val="000000" w:themeColor="text1"/>
              </w:rPr>
            </w:pPr>
          </w:p>
        </w:tc>
      </w:tr>
      <w:tr w:rsidR="00F15BC2" w14:paraId="1E3AA5A8" w14:textId="77777777" w:rsidTr="008220CA">
        <w:tc>
          <w:tcPr>
            <w:tcW w:w="13590" w:type="dxa"/>
            <w:vAlign w:val="center"/>
          </w:tcPr>
          <w:p w14:paraId="4523C210" w14:textId="4AF1D88D" w:rsidR="00F15BC2" w:rsidRPr="00AA6020" w:rsidRDefault="00F15BC2" w:rsidP="00F15BC2">
            <w:pPr>
              <w:rPr>
                <w:rFonts w:eastAsia="Palatino Linotype" w:cs="Palatino Linotype"/>
                <w:b/>
                <w:bCs w:val="0"/>
                <w:color w:val="000000"/>
              </w:rPr>
            </w:pPr>
            <w:r w:rsidRPr="21658F74">
              <w:rPr>
                <w:rFonts w:eastAsia="Palatino Linotype" w:cs="Palatino Linotype"/>
                <w:color w:val="000000" w:themeColor="text1"/>
              </w:rPr>
              <w:t xml:space="preserve">Sources, topics, and content that are necessary to complete the task are accessible to all students. </w:t>
            </w:r>
          </w:p>
        </w:tc>
        <w:tc>
          <w:tcPr>
            <w:tcW w:w="810" w:type="dxa"/>
          </w:tcPr>
          <w:p w14:paraId="07D8AB92" w14:textId="77777777" w:rsidR="00F15BC2" w:rsidRDefault="00F15BC2" w:rsidP="00F15BC2">
            <w:pPr>
              <w:jc w:val="center"/>
              <w:rPr>
                <w:rFonts w:eastAsia="Palatino Linotype" w:cs="Palatino Linotype"/>
                <w:b/>
                <w:color w:val="000000" w:themeColor="text1"/>
              </w:rPr>
            </w:pPr>
          </w:p>
        </w:tc>
      </w:tr>
      <w:tr w:rsidR="00F15BC2" w14:paraId="52FEF390" w14:textId="77777777" w:rsidTr="008220CA">
        <w:tc>
          <w:tcPr>
            <w:tcW w:w="13590" w:type="dxa"/>
            <w:vAlign w:val="center"/>
          </w:tcPr>
          <w:p w14:paraId="34BF5633" w14:textId="19D2AC76" w:rsidR="00F15BC2" w:rsidRPr="21658F74" w:rsidRDefault="00F15BC2" w:rsidP="00F15BC2">
            <w:pPr>
              <w:rPr>
                <w:rFonts w:eastAsia="Palatino Linotype" w:cs="Palatino Linotype"/>
                <w:color w:val="000000" w:themeColor="text1"/>
              </w:rPr>
            </w:pPr>
            <w:r>
              <w:rPr>
                <w:rFonts w:eastAsia="Palatino Linotype" w:cs="Palatino Linotype"/>
                <w:color w:val="000000"/>
              </w:rPr>
              <w:t xml:space="preserve">Planning processes, graphic organizers, and other materials are used to support all students in meeting the learning targets. </w:t>
            </w:r>
          </w:p>
        </w:tc>
        <w:tc>
          <w:tcPr>
            <w:tcW w:w="810" w:type="dxa"/>
          </w:tcPr>
          <w:p w14:paraId="2B5ABC85" w14:textId="77777777" w:rsidR="00F15BC2" w:rsidRDefault="00F15BC2" w:rsidP="00F15BC2">
            <w:pPr>
              <w:jc w:val="center"/>
              <w:rPr>
                <w:rFonts w:eastAsia="Palatino Linotype" w:cs="Palatino Linotype"/>
                <w:b/>
                <w:color w:val="000000" w:themeColor="text1"/>
              </w:rPr>
            </w:pPr>
          </w:p>
        </w:tc>
      </w:tr>
      <w:tr w:rsidR="00F15BC2" w14:paraId="3BA1FCF7" w14:textId="77777777" w:rsidTr="008220CA">
        <w:tc>
          <w:tcPr>
            <w:tcW w:w="13590" w:type="dxa"/>
          </w:tcPr>
          <w:p w14:paraId="50725723" w14:textId="77777777" w:rsidR="00F15BC2" w:rsidRDefault="00F15BC2" w:rsidP="00F15BC2">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1961E5D8" w14:textId="77777777" w:rsidR="00F15BC2" w:rsidRDefault="00F15BC2" w:rsidP="00F15BC2">
            <w:pPr>
              <w:rPr>
                <w:rFonts w:eastAsia="Palatino Linotype" w:cs="Palatino Linotype"/>
                <w:color w:val="000000"/>
              </w:rPr>
            </w:pPr>
          </w:p>
        </w:tc>
        <w:tc>
          <w:tcPr>
            <w:tcW w:w="810" w:type="dxa"/>
          </w:tcPr>
          <w:p w14:paraId="5BBB4DBC" w14:textId="77777777" w:rsidR="00F15BC2" w:rsidRDefault="00F15BC2" w:rsidP="00F15BC2">
            <w:pPr>
              <w:jc w:val="center"/>
              <w:rPr>
                <w:rFonts w:eastAsia="Palatino Linotype" w:cs="Palatino Linotype"/>
                <w:b/>
                <w:color w:val="000000" w:themeColor="text1"/>
              </w:rPr>
            </w:pPr>
          </w:p>
        </w:tc>
      </w:tr>
    </w:tbl>
    <w:p w14:paraId="4E62011F" w14:textId="0360CC10" w:rsidR="00F15BC2" w:rsidRDefault="00F15BC2"/>
    <w:p w14:paraId="33812CE6" w14:textId="77777777" w:rsidR="00F15BC2" w:rsidRDefault="00F15BC2">
      <w:pPr>
        <w:spacing w:before="0" w:after="200" w:line="276" w:lineRule="auto"/>
      </w:pPr>
      <w:r>
        <w:br w:type="page"/>
      </w:r>
    </w:p>
    <w:p w14:paraId="722B54CA" w14:textId="77777777" w:rsidR="00232053" w:rsidRDefault="00232053"/>
    <w:tbl>
      <w:tblPr>
        <w:tblW w:w="144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590"/>
        <w:gridCol w:w="810"/>
      </w:tblGrid>
      <w:tr w:rsidR="00232053" w:rsidRPr="00E713FD" w14:paraId="66F44CB2" w14:textId="77777777" w:rsidTr="00836273">
        <w:trPr>
          <w:cantSplit/>
          <w:tblHeader/>
        </w:trPr>
        <w:tc>
          <w:tcPr>
            <w:tcW w:w="13590" w:type="dxa"/>
            <w:tcBorders>
              <w:bottom w:val="single" w:sz="4" w:space="0" w:color="000000" w:themeColor="text1"/>
            </w:tcBorders>
            <w:shd w:val="clear" w:color="auto" w:fill="263F6A"/>
            <w:vAlign w:val="center"/>
          </w:tcPr>
          <w:p w14:paraId="6E7284EC" w14:textId="77777777" w:rsidR="00232053" w:rsidRPr="00273454" w:rsidRDefault="00232053" w:rsidP="00836273">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t xml:space="preserve">Assessment Plan </w:t>
            </w:r>
            <w:r w:rsidRPr="00273454">
              <w:rPr>
                <w:rFonts w:eastAsia="Source Sans Pro" w:cs="Source Sans Pro"/>
                <w:b/>
                <w:color w:val="FFFFFF" w:themeColor="background1"/>
                <w:sz w:val="24"/>
                <w:szCs w:val="24"/>
              </w:rPr>
              <w:t>Criteria</w:t>
            </w:r>
          </w:p>
        </w:tc>
        <w:tc>
          <w:tcPr>
            <w:tcW w:w="810" w:type="dxa"/>
            <w:tcBorders>
              <w:bottom w:val="single" w:sz="4" w:space="0" w:color="000000" w:themeColor="text1"/>
            </w:tcBorders>
            <w:shd w:val="clear" w:color="auto" w:fill="263F6A"/>
            <w:vAlign w:val="center"/>
          </w:tcPr>
          <w:p w14:paraId="3A6244C0" w14:textId="77777777" w:rsidR="00232053" w:rsidRPr="00273454" w:rsidRDefault="00232053" w:rsidP="00836273">
            <w:pPr>
              <w:pBdr>
                <w:top w:val="nil"/>
                <w:left w:val="nil"/>
                <w:bottom w:val="nil"/>
                <w:right w:val="nil"/>
                <w:between w:val="nil"/>
              </w:pBdr>
              <w:jc w:val="center"/>
              <w:rPr>
                <w:rFonts w:eastAsia="Source Sans Pro" w:cs="Source Sans Pro"/>
                <w:b/>
                <w:color w:val="FFFFFF" w:themeColor="background1"/>
                <w:sz w:val="24"/>
                <w:szCs w:val="24"/>
              </w:rPr>
            </w:pPr>
            <w:r>
              <w:rPr>
                <w:rFonts w:eastAsia="Source Sans Pro" w:cs="Source Sans Pro"/>
                <w:b/>
                <w:color w:val="FFFFFF" w:themeColor="background1"/>
                <w:sz w:val="24"/>
                <w:szCs w:val="24"/>
              </w:rPr>
              <w:t>1-3</w:t>
            </w:r>
          </w:p>
        </w:tc>
      </w:tr>
      <w:tr w:rsidR="003E5EBC" w:rsidRPr="00E713FD" w14:paraId="72BA1A5E" w14:textId="77777777" w:rsidTr="00284309">
        <w:tc>
          <w:tcPr>
            <w:tcW w:w="13590" w:type="dxa"/>
            <w:shd w:val="clear" w:color="auto" w:fill="DBE5F1" w:themeFill="accent1" w:themeFillTint="33"/>
            <w:vAlign w:val="center"/>
          </w:tcPr>
          <w:p w14:paraId="2A00DDCD" w14:textId="77777777" w:rsidR="003E5EBC" w:rsidRPr="00AA6020" w:rsidRDefault="003E5EBC" w:rsidP="00C315FC">
            <w:pPr>
              <w:widowControl w:val="0"/>
              <w:spacing w:before="80" w:after="80"/>
              <w:rPr>
                <w:rFonts w:eastAsia="Palatino Linotype" w:cs="Palatino Linotype"/>
                <w:b/>
                <w:bCs w:val="0"/>
              </w:rPr>
            </w:pPr>
            <w:r w:rsidRPr="00AA6020">
              <w:rPr>
                <w:rFonts w:eastAsia="Palatino Linotype" w:cs="Palatino Linotype"/>
                <w:b/>
                <w:bCs w:val="0"/>
              </w:rPr>
              <w:t>8. Timeline/Milestones</w:t>
            </w:r>
          </w:p>
        </w:tc>
        <w:tc>
          <w:tcPr>
            <w:tcW w:w="810" w:type="dxa"/>
            <w:shd w:val="clear" w:color="auto" w:fill="DBE5F1" w:themeFill="accent1" w:themeFillTint="33"/>
            <w:vAlign w:val="center"/>
          </w:tcPr>
          <w:p w14:paraId="7E49DD42" w14:textId="77777777" w:rsidR="003E5EBC" w:rsidRPr="00E713FD" w:rsidRDefault="003E5EBC" w:rsidP="00C315FC">
            <w:pPr>
              <w:pBdr>
                <w:top w:val="nil"/>
                <w:left w:val="nil"/>
                <w:bottom w:val="nil"/>
                <w:right w:val="nil"/>
                <w:between w:val="nil"/>
              </w:pBdr>
              <w:spacing w:before="80" w:after="80"/>
              <w:rPr>
                <w:rFonts w:eastAsia="Palatino Linotype" w:cs="Palatino Linotype"/>
                <w:color w:val="000000"/>
              </w:rPr>
            </w:pPr>
          </w:p>
        </w:tc>
      </w:tr>
      <w:tr w:rsidR="003E5EBC" w:rsidRPr="00E713FD" w14:paraId="30364A7A" w14:textId="77777777" w:rsidTr="00284309">
        <w:tc>
          <w:tcPr>
            <w:tcW w:w="13590" w:type="dxa"/>
            <w:vAlign w:val="center"/>
          </w:tcPr>
          <w:p w14:paraId="68928FD7" w14:textId="77777777" w:rsidR="003E5EBC" w:rsidRPr="00E713FD" w:rsidRDefault="003E5EBC" w:rsidP="00C315FC">
            <w:pPr>
              <w:widowControl w:val="0"/>
              <w:spacing w:before="80" w:after="80"/>
              <w:rPr>
                <w:rFonts w:eastAsia="Palatino Linotype" w:cs="Palatino Linotype"/>
              </w:rPr>
            </w:pPr>
            <w:r>
              <w:rPr>
                <w:rFonts w:eastAsia="Palatino Linotype" w:cs="Palatino Linotype"/>
              </w:rPr>
              <w:t xml:space="preserve">The timeline/milestones for the assessment are established and include definitive due dates for tasks or phases of the assessment. </w:t>
            </w:r>
          </w:p>
        </w:tc>
        <w:tc>
          <w:tcPr>
            <w:tcW w:w="810" w:type="dxa"/>
            <w:vAlign w:val="center"/>
          </w:tcPr>
          <w:p w14:paraId="59A52982" w14:textId="77777777" w:rsidR="003E5EBC" w:rsidRPr="00E713FD" w:rsidRDefault="003E5EBC" w:rsidP="00C315FC">
            <w:pPr>
              <w:pBdr>
                <w:top w:val="nil"/>
                <w:left w:val="nil"/>
                <w:bottom w:val="nil"/>
                <w:right w:val="nil"/>
                <w:between w:val="nil"/>
              </w:pBdr>
              <w:spacing w:before="80" w:after="80"/>
              <w:rPr>
                <w:rFonts w:eastAsia="Palatino Linotype" w:cs="Palatino Linotype"/>
                <w:color w:val="000000"/>
              </w:rPr>
            </w:pPr>
          </w:p>
        </w:tc>
      </w:tr>
      <w:tr w:rsidR="003E5EBC" w:rsidRPr="00E713FD" w14:paraId="1EE54257" w14:textId="77777777" w:rsidTr="00284309">
        <w:tc>
          <w:tcPr>
            <w:tcW w:w="13590" w:type="dxa"/>
            <w:vAlign w:val="center"/>
          </w:tcPr>
          <w:p w14:paraId="2DD3F387" w14:textId="77777777" w:rsidR="003E5EBC" w:rsidRDefault="003E5EBC" w:rsidP="00C315FC">
            <w:pPr>
              <w:widowControl w:val="0"/>
              <w:spacing w:before="80" w:after="80"/>
              <w:rPr>
                <w:rFonts w:eastAsia="Palatino Linotype" w:cs="Palatino Linotype"/>
              </w:rPr>
            </w:pPr>
            <w:r>
              <w:rPr>
                <w:rFonts w:eastAsia="Palatino Linotype" w:cs="Palatino Linotype"/>
              </w:rPr>
              <w:t xml:space="preserve">Tasks or phases of the assessment are attainable for the readiness level of the students. </w:t>
            </w:r>
          </w:p>
        </w:tc>
        <w:tc>
          <w:tcPr>
            <w:tcW w:w="810" w:type="dxa"/>
            <w:vAlign w:val="center"/>
          </w:tcPr>
          <w:p w14:paraId="37324747" w14:textId="77777777" w:rsidR="003E5EBC" w:rsidRPr="00E713FD" w:rsidRDefault="003E5EBC" w:rsidP="00C315FC">
            <w:pPr>
              <w:pBdr>
                <w:top w:val="nil"/>
                <w:left w:val="nil"/>
                <w:bottom w:val="nil"/>
                <w:right w:val="nil"/>
                <w:between w:val="nil"/>
              </w:pBdr>
              <w:spacing w:before="80" w:after="80"/>
              <w:rPr>
                <w:rFonts w:eastAsia="Palatino Linotype" w:cs="Palatino Linotype"/>
                <w:color w:val="000000"/>
              </w:rPr>
            </w:pPr>
          </w:p>
        </w:tc>
      </w:tr>
      <w:tr w:rsidR="003E5EBC" w14:paraId="02371DF7" w14:textId="77777777" w:rsidTr="00284309">
        <w:tc>
          <w:tcPr>
            <w:tcW w:w="13590" w:type="dxa"/>
          </w:tcPr>
          <w:p w14:paraId="5C2ECB63" w14:textId="77777777" w:rsidR="003E5EBC" w:rsidRDefault="003E5EBC" w:rsidP="00836273">
            <w:pPr>
              <w:rPr>
                <w:rFonts w:eastAsia="Palatino Linotype" w:cs="Palatino Linotype"/>
                <w:b/>
                <w:color w:val="000000" w:themeColor="text1"/>
              </w:rPr>
            </w:pPr>
            <w:r w:rsidRPr="2DCA1921">
              <w:rPr>
                <w:rFonts w:eastAsia="Palatino Linotype" w:cs="Palatino Linotype"/>
                <w:b/>
                <w:color w:val="000000" w:themeColor="text1"/>
              </w:rPr>
              <w:t>Teacher Reflections:</w:t>
            </w:r>
          </w:p>
          <w:p w14:paraId="0A3D6F42" w14:textId="77777777" w:rsidR="003E5EBC" w:rsidRDefault="003E5EBC" w:rsidP="00836273">
            <w:pPr>
              <w:rPr>
                <w:rFonts w:eastAsia="Palatino Linotype" w:cs="Palatino Linotype"/>
                <w:b/>
                <w:color w:val="000000" w:themeColor="text1"/>
              </w:rPr>
            </w:pPr>
          </w:p>
        </w:tc>
        <w:tc>
          <w:tcPr>
            <w:tcW w:w="810" w:type="dxa"/>
          </w:tcPr>
          <w:p w14:paraId="71E1E5BB" w14:textId="77777777" w:rsidR="003E5EBC" w:rsidRDefault="003E5EBC" w:rsidP="00836273">
            <w:pPr>
              <w:jc w:val="center"/>
              <w:rPr>
                <w:rFonts w:eastAsia="Palatino Linotype" w:cs="Palatino Linotype"/>
                <w:color w:val="000000" w:themeColor="text1"/>
              </w:rPr>
            </w:pPr>
          </w:p>
        </w:tc>
      </w:tr>
    </w:tbl>
    <w:p w14:paraId="3B1DAEB6" w14:textId="772E4532" w:rsidR="003E5EBC" w:rsidRPr="009963CD" w:rsidRDefault="003E5EBC" w:rsidP="00D56E70">
      <w:pPr>
        <w:pStyle w:val="Heading1"/>
        <w:rPr>
          <w:rFonts w:eastAsia="Palatino Linotype"/>
        </w:rPr>
      </w:pPr>
      <w:r w:rsidRPr="009963CD">
        <w:rPr>
          <w:rFonts w:eastAsia="Palatino Linotype"/>
        </w:rPr>
        <w:t>Resources:</w:t>
      </w:r>
    </w:p>
    <w:p w14:paraId="14A67838" w14:textId="583561ED" w:rsidR="003E5EBC" w:rsidRPr="00BB1DAF" w:rsidRDefault="003E5EBC" w:rsidP="000C449A">
      <w:pPr>
        <w:pBdr>
          <w:top w:val="nil"/>
          <w:left w:val="nil"/>
          <w:bottom w:val="nil"/>
          <w:right w:val="nil"/>
          <w:between w:val="nil"/>
        </w:pBdr>
        <w:rPr>
          <w:rFonts w:eastAsia="Palatino Linotype" w:cs="Palatino Linotype"/>
          <w:sz w:val="20"/>
          <w:szCs w:val="20"/>
        </w:rPr>
      </w:pPr>
      <w:r w:rsidRPr="00BB1DAF">
        <w:rPr>
          <w:rFonts w:eastAsia="Palatino Linotype" w:cs="Palatino Linotype"/>
          <w:sz w:val="20"/>
          <w:szCs w:val="20"/>
        </w:rPr>
        <w:t xml:space="preserve">McTighe, J., Doubet, K. T., </w:t>
      </w:r>
      <w:proofErr w:type="spellStart"/>
      <w:r w:rsidRPr="00BB1DAF">
        <w:rPr>
          <w:rFonts w:eastAsia="Palatino Linotype" w:cs="Palatino Linotype"/>
          <w:sz w:val="20"/>
          <w:szCs w:val="20"/>
        </w:rPr>
        <w:t>Carbaugh</w:t>
      </w:r>
      <w:proofErr w:type="spellEnd"/>
      <w:r w:rsidRPr="00BB1DAF">
        <w:rPr>
          <w:rFonts w:eastAsia="Palatino Linotype" w:cs="Palatino Linotype"/>
          <w:sz w:val="20"/>
          <w:szCs w:val="20"/>
        </w:rPr>
        <w:t xml:space="preserve">, E. M. (2020). </w:t>
      </w:r>
      <w:r w:rsidRPr="00BB1DAF">
        <w:rPr>
          <w:rFonts w:eastAsia="Palatino Linotype" w:cs="Palatino Linotype"/>
          <w:i/>
          <w:iCs/>
          <w:sz w:val="20"/>
          <w:szCs w:val="20"/>
        </w:rPr>
        <w:t>Designing Authentic Performance Tasks and Projects: Tools for Meaningful Learning and Assessment.</w:t>
      </w:r>
      <w:r w:rsidRPr="00BB1DAF">
        <w:rPr>
          <w:rFonts w:eastAsia="Palatino Linotype" w:cs="Palatino Linotype"/>
          <w:sz w:val="20"/>
          <w:szCs w:val="20"/>
        </w:rPr>
        <w:t xml:space="preserve"> ASCD.</w:t>
      </w:r>
    </w:p>
    <w:p w14:paraId="48EB0A59" w14:textId="0F43FA12" w:rsidR="00781CCF" w:rsidRPr="00FD3DF5" w:rsidRDefault="003E5EBC" w:rsidP="008039DB">
      <w:pPr>
        <w:pBdr>
          <w:top w:val="nil"/>
          <w:left w:val="nil"/>
          <w:bottom w:val="nil"/>
          <w:right w:val="nil"/>
          <w:between w:val="nil"/>
        </w:pBdr>
        <w:rPr>
          <w:rFonts w:eastAsia="Palatino Linotype" w:cs="Palatino Linotype"/>
          <w:sz w:val="20"/>
          <w:szCs w:val="20"/>
        </w:rPr>
      </w:pPr>
      <w:r w:rsidRPr="00FD3DF5">
        <w:rPr>
          <w:rFonts w:eastAsia="Palatino Linotype" w:cs="Palatino Linotype"/>
          <w:sz w:val="20"/>
          <w:szCs w:val="20"/>
        </w:rPr>
        <w:t xml:space="preserve">Taylor, C., </w:t>
      </w:r>
      <w:proofErr w:type="spellStart"/>
      <w:r w:rsidRPr="00FD3DF5">
        <w:rPr>
          <w:rFonts w:eastAsia="Palatino Linotype" w:cs="Palatino Linotype"/>
          <w:sz w:val="20"/>
          <w:szCs w:val="20"/>
        </w:rPr>
        <w:t>Kokka</w:t>
      </w:r>
      <w:proofErr w:type="spellEnd"/>
      <w:r w:rsidRPr="00FD3DF5">
        <w:rPr>
          <w:rFonts w:eastAsia="Palatino Linotype" w:cs="Palatino Linotype"/>
          <w:sz w:val="20"/>
          <w:szCs w:val="20"/>
        </w:rPr>
        <w:t xml:space="preserve">, K., Darling-Hammond, L., </w:t>
      </w:r>
      <w:proofErr w:type="spellStart"/>
      <w:r w:rsidRPr="00FD3DF5">
        <w:rPr>
          <w:rFonts w:eastAsia="Palatino Linotype" w:cs="Palatino Linotype"/>
          <w:sz w:val="20"/>
          <w:szCs w:val="20"/>
        </w:rPr>
        <w:t>Dieckman</w:t>
      </w:r>
      <w:proofErr w:type="spellEnd"/>
      <w:r w:rsidRPr="00FD3DF5">
        <w:rPr>
          <w:rFonts w:eastAsia="Palatino Linotype" w:cs="Palatino Linotype"/>
          <w:sz w:val="20"/>
          <w:szCs w:val="20"/>
        </w:rPr>
        <w:t xml:space="preserve">, J., Santana Pacheco, V., Sandler, S., &amp; Bae, S. (2016). </w:t>
      </w:r>
      <w:hyperlink r:id="rId12">
        <w:r w:rsidRPr="00AA1858">
          <w:rPr>
            <w:rFonts w:eastAsia="Palatino Linotype" w:cs="Palatino Linotype"/>
            <w:color w:val="0000FF"/>
            <w:sz w:val="20"/>
            <w:szCs w:val="20"/>
            <w:u w:val="single"/>
          </w:rPr>
          <w:t>Student Engagement: A Framework for On-demand Performance Assessment Tasks</w:t>
        </w:r>
      </w:hyperlink>
      <w:r w:rsidRPr="00FD3DF5">
        <w:rPr>
          <w:rFonts w:eastAsia="Palatino Linotype" w:cs="Palatino Linotype"/>
          <w:sz w:val="20"/>
          <w:szCs w:val="20"/>
        </w:rPr>
        <w:t>. Stanford, CA: Stanford Center for Opportunity Policy in Education.</w:t>
      </w:r>
    </w:p>
    <w:sectPr w:rsidR="00781CCF" w:rsidRPr="00FD3DF5" w:rsidSect="00E34526">
      <w:footerReference w:type="default" r:id="rId13"/>
      <w:headerReference w:type="first" r:id="rId14"/>
      <w:footerReference w:type="first" r:id="rId15"/>
      <w:pgSz w:w="15840" w:h="12240" w:orient="landscape"/>
      <w:pgMar w:top="720" w:right="720" w:bottom="1080" w:left="720" w:header="720" w:footer="1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CCC3" w14:textId="77777777" w:rsidR="00CE443D" w:rsidRDefault="00CE443D" w:rsidP="004062C7">
      <w:r>
        <w:separator/>
      </w:r>
    </w:p>
  </w:endnote>
  <w:endnote w:type="continuationSeparator" w:id="0">
    <w:p w14:paraId="5D49DC1E" w14:textId="77777777" w:rsidR="00CE443D" w:rsidRDefault="00CE443D" w:rsidP="004062C7">
      <w:r>
        <w:continuationSeparator/>
      </w:r>
    </w:p>
  </w:endnote>
  <w:endnote w:type="continuationNotice" w:id="1">
    <w:p w14:paraId="715F70C1" w14:textId="77777777" w:rsidR="00CE443D" w:rsidRDefault="00CE4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800"/>
      <w:gridCol w:w="4797"/>
      <w:gridCol w:w="4803"/>
    </w:tblGrid>
    <w:tr w:rsidR="00F27878" w14:paraId="69144D54" w14:textId="77777777" w:rsidTr="0054356D">
      <w:trPr>
        <w:trHeight w:val="633"/>
        <w:tblHeader/>
      </w:trPr>
      <w:tc>
        <w:tcPr>
          <w:tcW w:w="4808" w:type="dxa"/>
        </w:tcPr>
        <w:p w14:paraId="30DC6EFD" w14:textId="7466380B" w:rsidR="00F27878" w:rsidRPr="00937FFC" w:rsidRDefault="000C449A" w:rsidP="00DE08DF">
          <w:pPr>
            <w:pStyle w:val="Footer"/>
          </w:pPr>
          <w:r>
            <w:t>Quality Criteria for Performance Assessments</w:t>
          </w:r>
          <w:r w:rsidR="00F27878" w:rsidRPr="00937FFC">
            <w:t xml:space="preserve"> </w:t>
          </w:r>
          <w:r w:rsidR="00F27878" w:rsidRPr="00937FFC">
            <w:br/>
            <w:t>(Revised:</w:t>
          </w:r>
          <w:r w:rsidR="00F15BC2">
            <w:t xml:space="preserve"> June 22</w:t>
          </w:r>
          <w:r w:rsidR="00F95AF9">
            <w:t>, 2021)</w:t>
          </w:r>
        </w:p>
      </w:tc>
      <w:tc>
        <w:tcPr>
          <w:tcW w:w="4808" w:type="dxa"/>
        </w:tcPr>
        <w:p w14:paraId="139AC01F" w14:textId="77777777" w:rsidR="00F27878" w:rsidRPr="00937FFC" w:rsidRDefault="00F27878" w:rsidP="00DE08DF">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rPr>
            <w:t>2</w:t>
          </w:r>
          <w:r w:rsidRPr="00937FFC">
            <w:rPr>
              <w:b/>
            </w:rPr>
            <w:fldChar w:fldCharType="end"/>
          </w:r>
          <w:r w:rsidRPr="00937FFC">
            <w:t xml:space="preserve"> of </w:t>
          </w:r>
          <w:fldSimple w:instr=" NUMPAGES  \* Arabic  \* MERGEFORMAT ">
            <w:r>
              <w:t>3</w:t>
            </w:r>
          </w:fldSimple>
        </w:p>
      </w:tc>
      <w:tc>
        <w:tcPr>
          <w:tcW w:w="4809" w:type="dxa"/>
        </w:tcPr>
        <w:p w14:paraId="32C9216E" w14:textId="77777777" w:rsidR="00F27878" w:rsidRPr="00937FFC" w:rsidRDefault="00F27878" w:rsidP="0005287E">
          <w:pPr>
            <w:pStyle w:val="Footer"/>
            <w:jc w:val="right"/>
            <w:rPr>
              <w:szCs w:val="18"/>
            </w:rPr>
          </w:pPr>
          <w:r w:rsidRPr="00937FFC">
            <w:rPr>
              <w:noProof/>
            </w:rPr>
            <w:drawing>
              <wp:inline distT="0" distB="0" distL="0" distR="0" wp14:anchorId="5CCE9BC6" wp14:editId="7D3ADC1C">
                <wp:extent cx="1458349" cy="365760"/>
                <wp:effectExtent l="0" t="0" r="8890" b="0"/>
                <wp:docPr id="52" name="Picture 5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4AE77D96" w14:textId="77777777" w:rsidR="00F27878" w:rsidRPr="00E773E9" w:rsidRDefault="00F27878" w:rsidP="00DE08DF">
    <w:pPr>
      <w:pStyle w:val="Footer"/>
      <w:rPr>
        <w:sz w:val="4"/>
      </w:rPr>
    </w:pPr>
  </w:p>
  <w:p w14:paraId="2DC9B6D0" w14:textId="77777777" w:rsidR="00796D5F" w:rsidRPr="00F95AF9" w:rsidRDefault="00796D5F" w:rsidP="00DE08D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800"/>
      <w:gridCol w:w="4797"/>
      <w:gridCol w:w="4803"/>
    </w:tblGrid>
    <w:tr w:rsidR="00E35AB6" w14:paraId="2D6C5952" w14:textId="77777777" w:rsidTr="00836273">
      <w:trPr>
        <w:trHeight w:val="633"/>
        <w:tblHeader/>
      </w:trPr>
      <w:tc>
        <w:tcPr>
          <w:tcW w:w="4808" w:type="dxa"/>
        </w:tcPr>
        <w:p w14:paraId="2C149784" w14:textId="77777777" w:rsidR="00E35AB6" w:rsidRPr="00937FFC" w:rsidRDefault="00E35AB6" w:rsidP="00E35AB6">
          <w:pPr>
            <w:pStyle w:val="Footer"/>
          </w:pPr>
          <w:r>
            <w:t>Quality Criteria for Performance Assessments</w:t>
          </w:r>
          <w:r w:rsidRPr="00937FFC">
            <w:t xml:space="preserve"> </w:t>
          </w:r>
          <w:r w:rsidRPr="00937FFC">
            <w:br/>
            <w:t>(Revised:</w:t>
          </w:r>
          <w:r>
            <w:t xml:space="preserve"> May 3, 2021)</w:t>
          </w:r>
        </w:p>
      </w:tc>
      <w:tc>
        <w:tcPr>
          <w:tcW w:w="4808" w:type="dxa"/>
        </w:tcPr>
        <w:p w14:paraId="2D0575E6" w14:textId="77777777" w:rsidR="00E35AB6" w:rsidRPr="00065883" w:rsidRDefault="00E35AB6" w:rsidP="00E35AB6">
          <w:pPr>
            <w:pStyle w:val="Footer"/>
            <w:jc w:val="center"/>
          </w:pPr>
          <w:r w:rsidRPr="00065883">
            <w:t xml:space="preserve">Page </w:t>
          </w:r>
          <w:r w:rsidRPr="00065883">
            <w:fldChar w:fldCharType="begin"/>
          </w:r>
          <w:r w:rsidRPr="00065883">
            <w:instrText xml:space="preserve"> PAGE  \* Arabic  \* MERGEFORMAT </w:instrText>
          </w:r>
          <w:r w:rsidRPr="00065883">
            <w:fldChar w:fldCharType="separate"/>
          </w:r>
          <w:r w:rsidRPr="00065883">
            <w:t>2</w:t>
          </w:r>
          <w:r w:rsidRPr="00065883">
            <w:fldChar w:fldCharType="end"/>
          </w:r>
          <w:r w:rsidRPr="00065883">
            <w:t xml:space="preserve"> of </w:t>
          </w:r>
          <w:r w:rsidR="00CE443D">
            <w:fldChar w:fldCharType="begin"/>
          </w:r>
          <w:r w:rsidR="00CE443D">
            <w:instrText xml:space="preserve"> NUMPAGES  \* Arabic  \* MERGEFORMAT </w:instrText>
          </w:r>
          <w:r w:rsidR="00CE443D">
            <w:fldChar w:fldCharType="separate"/>
          </w:r>
          <w:r w:rsidRPr="00065883">
            <w:t>3</w:t>
          </w:r>
          <w:r w:rsidR="00CE443D">
            <w:fldChar w:fldCharType="end"/>
          </w:r>
        </w:p>
      </w:tc>
      <w:tc>
        <w:tcPr>
          <w:tcW w:w="4809" w:type="dxa"/>
        </w:tcPr>
        <w:p w14:paraId="4588D551" w14:textId="77777777" w:rsidR="00E35AB6" w:rsidRPr="00937FFC" w:rsidRDefault="00E35AB6" w:rsidP="00E35AB6">
          <w:pPr>
            <w:pStyle w:val="Footer"/>
            <w:jc w:val="right"/>
            <w:rPr>
              <w:szCs w:val="18"/>
            </w:rPr>
          </w:pPr>
          <w:r w:rsidRPr="00937FFC">
            <w:rPr>
              <w:noProof/>
            </w:rPr>
            <w:drawing>
              <wp:inline distT="0" distB="0" distL="0" distR="0" wp14:anchorId="30AB70E9" wp14:editId="3C17777B">
                <wp:extent cx="1458349" cy="365760"/>
                <wp:effectExtent l="0" t="0" r="8890" b="0"/>
                <wp:docPr id="54" name="Picture 54"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31BEC1D2" w14:textId="1CFCDF70" w:rsidR="00B66234" w:rsidRPr="00E35AB6" w:rsidRDefault="00B66234" w:rsidP="00E35AB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223A" w14:textId="77777777" w:rsidR="00CE443D" w:rsidRDefault="00CE443D" w:rsidP="004062C7">
      <w:r>
        <w:separator/>
      </w:r>
    </w:p>
  </w:footnote>
  <w:footnote w:type="continuationSeparator" w:id="0">
    <w:p w14:paraId="440FB9A5" w14:textId="77777777" w:rsidR="00CE443D" w:rsidRDefault="00CE443D" w:rsidP="004062C7">
      <w:r>
        <w:continuationSeparator/>
      </w:r>
    </w:p>
  </w:footnote>
  <w:footnote w:type="continuationNotice" w:id="1">
    <w:p w14:paraId="1DF8192F" w14:textId="77777777" w:rsidR="00CE443D" w:rsidRDefault="00CE443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05287E" w14:paraId="39ABE2FE" w14:textId="77777777" w:rsidTr="0005287E">
      <w:tc>
        <w:tcPr>
          <w:tcW w:w="9005" w:type="dxa"/>
        </w:tcPr>
        <w:p w14:paraId="2B7EF920" w14:textId="77777777" w:rsidR="0005287E" w:rsidRDefault="0005287E" w:rsidP="0005287E">
          <w:pPr>
            <w:pStyle w:val="AOE-Header"/>
            <w:spacing w:before="0" w:after="0"/>
            <w:jc w:val="left"/>
            <w:rPr>
              <w:sz w:val="20"/>
              <w:szCs w:val="20"/>
            </w:rPr>
          </w:pPr>
          <w:bookmarkStart w:id="1" w:name="_Hlk24543830"/>
          <w:bookmarkStart w:id="2" w:name="_Hlk24543831"/>
          <w:r w:rsidRPr="00147A67">
            <w:rPr>
              <w:sz w:val="20"/>
              <w:szCs w:val="20"/>
            </w:rPr>
            <w:drawing>
              <wp:inline distT="0" distB="0" distL="0" distR="0" wp14:anchorId="561B0E90" wp14:editId="670A95D5">
                <wp:extent cx="1576705" cy="411480"/>
                <wp:effectExtent l="0" t="0" r="4445" b="762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4128149F" w14:textId="77777777" w:rsidR="0005287E" w:rsidRDefault="0005287E" w:rsidP="0005287E">
          <w:pPr>
            <w:pStyle w:val="AOE-Header"/>
            <w:spacing w:before="0" w:after="0"/>
            <w:jc w:val="left"/>
            <w:rPr>
              <w:sz w:val="20"/>
              <w:szCs w:val="20"/>
            </w:rPr>
          </w:pPr>
          <w:bookmarkStart w:id="3"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3"/>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tbl>
  <w:p w14:paraId="122FEBD7" w14:textId="77777777" w:rsidR="0005287E" w:rsidRPr="00B46917" w:rsidRDefault="0005287E" w:rsidP="0005287E">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6"/>
  </w:num>
  <w:num w:numId="2">
    <w:abstractNumId w:val="13"/>
  </w:num>
  <w:num w:numId="3">
    <w:abstractNumId w:val="24"/>
  </w:num>
  <w:num w:numId="4">
    <w:abstractNumId w:val="19"/>
  </w:num>
  <w:num w:numId="5">
    <w:abstractNumId w:val="20"/>
  </w:num>
  <w:num w:numId="6">
    <w:abstractNumId w:val="5"/>
  </w:num>
  <w:num w:numId="7">
    <w:abstractNumId w:val="1"/>
  </w:num>
  <w:num w:numId="8">
    <w:abstractNumId w:val="14"/>
  </w:num>
  <w:num w:numId="9">
    <w:abstractNumId w:val="18"/>
  </w:num>
  <w:num w:numId="10">
    <w:abstractNumId w:val="27"/>
  </w:num>
  <w:num w:numId="11">
    <w:abstractNumId w:val="16"/>
  </w:num>
  <w:num w:numId="12">
    <w:abstractNumId w:val="8"/>
  </w:num>
  <w:num w:numId="13">
    <w:abstractNumId w:val="29"/>
  </w:num>
  <w:num w:numId="14">
    <w:abstractNumId w:val="9"/>
  </w:num>
  <w:num w:numId="15">
    <w:abstractNumId w:val="28"/>
  </w:num>
  <w:num w:numId="16">
    <w:abstractNumId w:val="4"/>
  </w:num>
  <w:num w:numId="17">
    <w:abstractNumId w:val="6"/>
  </w:num>
  <w:num w:numId="18">
    <w:abstractNumId w:val="17"/>
  </w:num>
  <w:num w:numId="19">
    <w:abstractNumId w:val="21"/>
  </w:num>
  <w:num w:numId="20">
    <w:abstractNumId w:val="11"/>
  </w:num>
  <w:num w:numId="21">
    <w:abstractNumId w:val="12"/>
  </w:num>
  <w:num w:numId="22">
    <w:abstractNumId w:val="10"/>
  </w:num>
  <w:num w:numId="23">
    <w:abstractNumId w:val="2"/>
  </w:num>
  <w:num w:numId="24">
    <w:abstractNumId w:val="25"/>
  </w:num>
  <w:num w:numId="25">
    <w:abstractNumId w:val="2"/>
  </w:num>
  <w:num w:numId="26">
    <w:abstractNumId w:val="3"/>
  </w:num>
  <w:num w:numId="27">
    <w:abstractNumId w:val="22"/>
  </w:num>
  <w:num w:numId="28">
    <w:abstractNumId w:val="23"/>
  </w:num>
  <w:num w:numId="29">
    <w:abstractNumId w:val="15"/>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0853A5"/>
    <w:rsid w:val="00001D9D"/>
    <w:rsid w:val="00011117"/>
    <w:rsid w:val="00015F9D"/>
    <w:rsid w:val="00030823"/>
    <w:rsid w:val="000310B4"/>
    <w:rsid w:val="000321FC"/>
    <w:rsid w:val="000349B0"/>
    <w:rsid w:val="0005287E"/>
    <w:rsid w:val="00057033"/>
    <w:rsid w:val="00062DFA"/>
    <w:rsid w:val="00065883"/>
    <w:rsid w:val="000806B4"/>
    <w:rsid w:val="0008301F"/>
    <w:rsid w:val="000853A5"/>
    <w:rsid w:val="000978C9"/>
    <w:rsid w:val="000B3621"/>
    <w:rsid w:val="000C449A"/>
    <w:rsid w:val="000F3A23"/>
    <w:rsid w:val="000F7F54"/>
    <w:rsid w:val="00102EA8"/>
    <w:rsid w:val="00104EFB"/>
    <w:rsid w:val="00147A67"/>
    <w:rsid w:val="00161F11"/>
    <w:rsid w:val="001645D6"/>
    <w:rsid w:val="00165124"/>
    <w:rsid w:val="0017612B"/>
    <w:rsid w:val="00191028"/>
    <w:rsid w:val="001C1F88"/>
    <w:rsid w:val="001C25E3"/>
    <w:rsid w:val="001C6F18"/>
    <w:rsid w:val="001D07C0"/>
    <w:rsid w:val="001D11ED"/>
    <w:rsid w:val="001D35CB"/>
    <w:rsid w:val="001E2577"/>
    <w:rsid w:val="001E7FBE"/>
    <w:rsid w:val="001F22D0"/>
    <w:rsid w:val="001F4BA5"/>
    <w:rsid w:val="00204A8C"/>
    <w:rsid w:val="002112F8"/>
    <w:rsid w:val="00217F09"/>
    <w:rsid w:val="002214B1"/>
    <w:rsid w:val="00221659"/>
    <w:rsid w:val="002237E0"/>
    <w:rsid w:val="00232053"/>
    <w:rsid w:val="0024600A"/>
    <w:rsid w:val="0024786D"/>
    <w:rsid w:val="00256309"/>
    <w:rsid w:val="002768DB"/>
    <w:rsid w:val="002768E8"/>
    <w:rsid w:val="00280421"/>
    <w:rsid w:val="00284309"/>
    <w:rsid w:val="0028626E"/>
    <w:rsid w:val="002A0C9D"/>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977EC"/>
    <w:rsid w:val="003B1BCA"/>
    <w:rsid w:val="003B7F81"/>
    <w:rsid w:val="003D0155"/>
    <w:rsid w:val="003D090F"/>
    <w:rsid w:val="003E5EBC"/>
    <w:rsid w:val="003E736C"/>
    <w:rsid w:val="004062C7"/>
    <w:rsid w:val="00410700"/>
    <w:rsid w:val="00442899"/>
    <w:rsid w:val="00444A7A"/>
    <w:rsid w:val="004460D4"/>
    <w:rsid w:val="004739FF"/>
    <w:rsid w:val="00484A92"/>
    <w:rsid w:val="00490247"/>
    <w:rsid w:val="004916FF"/>
    <w:rsid w:val="004A7AD0"/>
    <w:rsid w:val="004B7F41"/>
    <w:rsid w:val="004C627F"/>
    <w:rsid w:val="004D1880"/>
    <w:rsid w:val="004E0D87"/>
    <w:rsid w:val="00500232"/>
    <w:rsid w:val="00505A69"/>
    <w:rsid w:val="0053258D"/>
    <w:rsid w:val="00536AA0"/>
    <w:rsid w:val="005464E9"/>
    <w:rsid w:val="00554932"/>
    <w:rsid w:val="00566B8A"/>
    <w:rsid w:val="0056727F"/>
    <w:rsid w:val="00575711"/>
    <w:rsid w:val="00580AF5"/>
    <w:rsid w:val="0059538A"/>
    <w:rsid w:val="00595F2B"/>
    <w:rsid w:val="005A2F07"/>
    <w:rsid w:val="005A6589"/>
    <w:rsid w:val="005B5528"/>
    <w:rsid w:val="005B61CD"/>
    <w:rsid w:val="005C0FB7"/>
    <w:rsid w:val="005C1751"/>
    <w:rsid w:val="005D1A81"/>
    <w:rsid w:val="005D7389"/>
    <w:rsid w:val="005D7ABB"/>
    <w:rsid w:val="006062D9"/>
    <w:rsid w:val="0062055D"/>
    <w:rsid w:val="00626212"/>
    <w:rsid w:val="0063049A"/>
    <w:rsid w:val="00651E8D"/>
    <w:rsid w:val="006703F6"/>
    <w:rsid w:val="006C29AA"/>
    <w:rsid w:val="006D2E0C"/>
    <w:rsid w:val="006E628E"/>
    <w:rsid w:val="006F5080"/>
    <w:rsid w:val="006F698F"/>
    <w:rsid w:val="00710FE3"/>
    <w:rsid w:val="00721DF9"/>
    <w:rsid w:val="00734368"/>
    <w:rsid w:val="00746838"/>
    <w:rsid w:val="0077034A"/>
    <w:rsid w:val="00774ECD"/>
    <w:rsid w:val="00781CCF"/>
    <w:rsid w:val="007914E1"/>
    <w:rsid w:val="00793F49"/>
    <w:rsid w:val="007963EC"/>
    <w:rsid w:val="00796D5F"/>
    <w:rsid w:val="007A4182"/>
    <w:rsid w:val="007D17B1"/>
    <w:rsid w:val="007D5E67"/>
    <w:rsid w:val="007E3BD6"/>
    <w:rsid w:val="008026C4"/>
    <w:rsid w:val="008039DB"/>
    <w:rsid w:val="00804ED3"/>
    <w:rsid w:val="00815A05"/>
    <w:rsid w:val="0082162E"/>
    <w:rsid w:val="00826203"/>
    <w:rsid w:val="008533A2"/>
    <w:rsid w:val="00865A62"/>
    <w:rsid w:val="0087647A"/>
    <w:rsid w:val="008A0832"/>
    <w:rsid w:val="008B70BF"/>
    <w:rsid w:val="008C332D"/>
    <w:rsid w:val="008F27B0"/>
    <w:rsid w:val="008F6F90"/>
    <w:rsid w:val="00925B44"/>
    <w:rsid w:val="0092656D"/>
    <w:rsid w:val="00926F4B"/>
    <w:rsid w:val="00937F53"/>
    <w:rsid w:val="00937FFC"/>
    <w:rsid w:val="0094350D"/>
    <w:rsid w:val="00961A6D"/>
    <w:rsid w:val="009840EF"/>
    <w:rsid w:val="009963CD"/>
    <w:rsid w:val="00996818"/>
    <w:rsid w:val="009A0DF6"/>
    <w:rsid w:val="009A4BD4"/>
    <w:rsid w:val="009C410C"/>
    <w:rsid w:val="009D1A1A"/>
    <w:rsid w:val="009D24B2"/>
    <w:rsid w:val="009D34F3"/>
    <w:rsid w:val="009D4528"/>
    <w:rsid w:val="00A1111B"/>
    <w:rsid w:val="00A1547A"/>
    <w:rsid w:val="00A211A8"/>
    <w:rsid w:val="00A22D22"/>
    <w:rsid w:val="00A24AEB"/>
    <w:rsid w:val="00A41920"/>
    <w:rsid w:val="00A5108F"/>
    <w:rsid w:val="00A513A7"/>
    <w:rsid w:val="00A67F96"/>
    <w:rsid w:val="00A92164"/>
    <w:rsid w:val="00A9790E"/>
    <w:rsid w:val="00AA0207"/>
    <w:rsid w:val="00AA1858"/>
    <w:rsid w:val="00AC7241"/>
    <w:rsid w:val="00AD1A62"/>
    <w:rsid w:val="00AD4B66"/>
    <w:rsid w:val="00AF33BA"/>
    <w:rsid w:val="00AF600F"/>
    <w:rsid w:val="00AF602B"/>
    <w:rsid w:val="00B03DC1"/>
    <w:rsid w:val="00B04C63"/>
    <w:rsid w:val="00B114D1"/>
    <w:rsid w:val="00B25D38"/>
    <w:rsid w:val="00B25DEC"/>
    <w:rsid w:val="00B540C0"/>
    <w:rsid w:val="00B6001B"/>
    <w:rsid w:val="00B66128"/>
    <w:rsid w:val="00B66234"/>
    <w:rsid w:val="00B679AF"/>
    <w:rsid w:val="00BB1DAF"/>
    <w:rsid w:val="00BC6DE3"/>
    <w:rsid w:val="00BD7ABE"/>
    <w:rsid w:val="00BE3F84"/>
    <w:rsid w:val="00BE43B0"/>
    <w:rsid w:val="00BE49C5"/>
    <w:rsid w:val="00C01AD7"/>
    <w:rsid w:val="00C109A3"/>
    <w:rsid w:val="00C13786"/>
    <w:rsid w:val="00C315FC"/>
    <w:rsid w:val="00C42D43"/>
    <w:rsid w:val="00C45437"/>
    <w:rsid w:val="00C712A7"/>
    <w:rsid w:val="00C712E1"/>
    <w:rsid w:val="00CA2941"/>
    <w:rsid w:val="00CA3BA9"/>
    <w:rsid w:val="00CA71B2"/>
    <w:rsid w:val="00CB29BB"/>
    <w:rsid w:val="00CC230C"/>
    <w:rsid w:val="00CD21BC"/>
    <w:rsid w:val="00CE443D"/>
    <w:rsid w:val="00CF4EFE"/>
    <w:rsid w:val="00D04EC2"/>
    <w:rsid w:val="00D064CA"/>
    <w:rsid w:val="00D07AE7"/>
    <w:rsid w:val="00D12391"/>
    <w:rsid w:val="00D22EA0"/>
    <w:rsid w:val="00D33781"/>
    <w:rsid w:val="00D33F20"/>
    <w:rsid w:val="00D41020"/>
    <w:rsid w:val="00D56E70"/>
    <w:rsid w:val="00D65661"/>
    <w:rsid w:val="00D72AAF"/>
    <w:rsid w:val="00D74A52"/>
    <w:rsid w:val="00D85D7F"/>
    <w:rsid w:val="00DC3C47"/>
    <w:rsid w:val="00DE08DF"/>
    <w:rsid w:val="00DE6086"/>
    <w:rsid w:val="00DE7FA2"/>
    <w:rsid w:val="00E2171D"/>
    <w:rsid w:val="00E30534"/>
    <w:rsid w:val="00E34526"/>
    <w:rsid w:val="00E35AB6"/>
    <w:rsid w:val="00E606BA"/>
    <w:rsid w:val="00E773E9"/>
    <w:rsid w:val="00E9189B"/>
    <w:rsid w:val="00ED3A89"/>
    <w:rsid w:val="00ED49D5"/>
    <w:rsid w:val="00F13432"/>
    <w:rsid w:val="00F15BC2"/>
    <w:rsid w:val="00F234A0"/>
    <w:rsid w:val="00F27878"/>
    <w:rsid w:val="00F41E27"/>
    <w:rsid w:val="00F65CB1"/>
    <w:rsid w:val="00F661E5"/>
    <w:rsid w:val="00F76AD8"/>
    <w:rsid w:val="00F90A87"/>
    <w:rsid w:val="00F937F8"/>
    <w:rsid w:val="00F95AF9"/>
    <w:rsid w:val="00FA084B"/>
    <w:rsid w:val="00FA47FB"/>
    <w:rsid w:val="00FD16CE"/>
    <w:rsid w:val="00FD3DF5"/>
    <w:rsid w:val="00FD7980"/>
    <w:rsid w:val="00FE2356"/>
    <w:rsid w:val="00FE665D"/>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9B8B2"/>
  <w15:docId w15:val="{6A9763A5-0ABD-4A52-BCF5-B86948B6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policy.stanford.edu/sites/default/files/publications/student-engagement-framework.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edu-interdisciplinary-performance-assessment-templa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lle.Chicoine\OneDrive%20-%20State%20of%20Vermont\AOE%20Mandatory%20Templates\edu-new-basic-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3AECB4DD66741BAFAF5EC074B631B" ma:contentTypeVersion="15" ma:contentTypeDescription="Create a new document." ma:contentTypeScope="" ma:versionID="e53550f77c5a2b2a2b99c431f84437da">
  <xsd:schema xmlns:xsd="http://www.w3.org/2001/XMLSchema" xmlns:xs="http://www.w3.org/2001/XMLSchema" xmlns:p="http://schemas.microsoft.com/office/2006/metadata/properties" xmlns:ns1="http://schemas.microsoft.com/sharepoint/v3" xmlns:ns3="a74a48a5-644d-4964-ad16-999cc36c62aa" xmlns:ns4="004bdda2-5785-45f1-8f60-b58b97806aa1" targetNamespace="http://schemas.microsoft.com/office/2006/metadata/properties" ma:root="true" ma:fieldsID="11be00a58eae439a396ebb214239ee10" ns1:_="" ns3:_="" ns4:_="">
    <xsd:import namespace="http://schemas.microsoft.com/sharepoint/v3"/>
    <xsd:import namespace="a74a48a5-644d-4964-ad16-999cc36c62aa"/>
    <xsd:import namespace="004bdda2-5785-45f1-8f60-b58b97806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48a5-644d-4964-ad16-999cc36c62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bdda2-5785-45f1-8f60-b58b97806a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74a48a5-644d-4964-ad16-999cc36c62aa">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798EC-D18E-459C-95A1-4F01F0C6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4a48a5-644d-4964-ad16-999cc36c62aa"/>
    <ds:schemaRef ds:uri="004bdda2-5785-45f1-8f60-b58b97806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131F7-1ADA-45D4-A710-6323628CF03E}">
  <ds:schemaRefs>
    <ds:schemaRef ds:uri="http://schemas.openxmlformats.org/officeDocument/2006/bibliography"/>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a74a48a5-644d-4964-ad16-999cc36c62aa"/>
    <ds:schemaRef ds:uri="http://schemas.microsoft.com/sharepoint/v3"/>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edu-new-basic-landscape-template</Template>
  <TotalTime>3</TotalTime>
  <Pages>6</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Quality Criteria for Performance Assessments</vt:lpstr>
    </vt:vector>
  </TitlesOfParts>
  <Company>Vermont Agency of Education</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Criteria for Performance Assessments</dc:title>
  <dc:creator>Vermont Agency of Education</dc:creator>
  <cp:keywords/>
  <cp:lastModifiedBy>Chicoine, Lucille</cp:lastModifiedBy>
  <cp:revision>4</cp:revision>
  <cp:lastPrinted>2015-09-09T16:37:00Z</cp:lastPrinted>
  <dcterms:created xsi:type="dcterms:W3CDTF">2021-06-22T15:28:00Z</dcterms:created>
  <dcterms:modified xsi:type="dcterms:W3CDTF">2021-06-22T15:30:00Z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0x0101003463AECB4DD66741BAFAF5EC074B631B</vt:lpwstr>
  </property>
</Properties>
</file>