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72FA" w14:textId="77777777" w:rsidR="00EB4A71" w:rsidRPr="00EB4A71" w:rsidRDefault="00EB4A71" w:rsidP="00EB4A71">
      <w:pPr>
        <w:pStyle w:val="Title"/>
        <w:spacing w:before="0" w:after="0"/>
      </w:pPr>
      <w:r w:rsidRPr="00EB4A71">
        <w:t xml:space="preserve">Paid Lunch Equity </w:t>
      </w:r>
      <w:r w:rsidR="0077041C">
        <w:t xml:space="preserve">(PLE) </w:t>
      </w:r>
      <w:r w:rsidRPr="00EB4A71">
        <w:t>Intent Form</w:t>
      </w:r>
    </w:p>
    <w:p w14:paraId="5EF99B90" w14:textId="3C0A2E2F" w:rsidR="00EB4A71" w:rsidRPr="00EB4A71" w:rsidRDefault="00EB4A71" w:rsidP="00EB4A71">
      <w:pPr>
        <w:pStyle w:val="Title"/>
        <w:spacing w:before="0" w:after="0"/>
      </w:pPr>
      <w:r w:rsidRPr="00EB4A71">
        <w:t>20</w:t>
      </w:r>
      <w:r>
        <w:t>2</w:t>
      </w:r>
      <w:r w:rsidR="00380FF5">
        <w:t>1</w:t>
      </w:r>
      <w:r>
        <w:t xml:space="preserve"> </w:t>
      </w:r>
      <w:r w:rsidRPr="00EB4A71">
        <w:t>-</w:t>
      </w:r>
      <w:r>
        <w:t xml:space="preserve"> </w:t>
      </w:r>
      <w:r w:rsidRPr="00EB4A71">
        <w:t>202</w:t>
      </w:r>
      <w:r w:rsidR="00380FF5">
        <w:t>2</w:t>
      </w:r>
    </w:p>
    <w:p w14:paraId="28D1CCBD" w14:textId="640CE65C" w:rsidR="00EB4A71" w:rsidRPr="00EB4A71" w:rsidRDefault="00EB4A71" w:rsidP="00EB4A71">
      <w:pPr>
        <w:spacing w:before="0" w:after="0" w:line="240" w:lineRule="auto"/>
      </w:pPr>
      <w:r w:rsidRPr="00EB4A71">
        <w:t xml:space="preserve">USDA requires that School Food Authorities (SFAs) ensure that </w:t>
      </w:r>
      <w:r w:rsidR="0077041C">
        <w:t>F</w:t>
      </w:r>
      <w:r w:rsidRPr="00EB4A71">
        <w:t xml:space="preserve">ree and </w:t>
      </w:r>
      <w:r w:rsidR="0077041C">
        <w:t>R</w:t>
      </w:r>
      <w:r w:rsidRPr="00EB4A71">
        <w:t xml:space="preserve">educed meal reimbursements are not used to subsidize </w:t>
      </w:r>
      <w:r w:rsidR="0077041C">
        <w:t>P</w:t>
      </w:r>
      <w:r w:rsidRPr="00EB4A71">
        <w:t xml:space="preserve">aid </w:t>
      </w:r>
      <w:r w:rsidR="0077041C">
        <w:t>l</w:t>
      </w:r>
      <w:r w:rsidRPr="00EB4A71">
        <w:t xml:space="preserve">unches. Each year, SFAs must assess if their student </w:t>
      </w:r>
      <w:r w:rsidR="0077041C">
        <w:t>P</w:t>
      </w:r>
      <w:r w:rsidRPr="00EB4A71">
        <w:t xml:space="preserve">aid </w:t>
      </w:r>
      <w:r w:rsidR="0077041C">
        <w:t>l</w:t>
      </w:r>
      <w:r w:rsidRPr="00EB4A71">
        <w:t xml:space="preserve">unch price is compliant with the USDA target price. The target price for School Year </w:t>
      </w:r>
      <w:r w:rsidR="00D05527">
        <w:t>20</w:t>
      </w:r>
      <w:r w:rsidR="0077041C">
        <w:t>2</w:t>
      </w:r>
      <w:r w:rsidR="009165E9">
        <w:t>1</w:t>
      </w:r>
      <w:r w:rsidR="0077041C">
        <w:t>-</w:t>
      </w:r>
      <w:r w:rsidR="00D05527">
        <w:t>20</w:t>
      </w:r>
      <w:r w:rsidR="0077041C">
        <w:t>2</w:t>
      </w:r>
      <w:r w:rsidR="009165E9">
        <w:t>2</w:t>
      </w:r>
      <w:r w:rsidRPr="00EB4A71">
        <w:t xml:space="preserve"> is $3.</w:t>
      </w:r>
      <w:r w:rsidR="009165E9">
        <w:t>18</w:t>
      </w:r>
      <w:r w:rsidRPr="00EB4A71">
        <w:t xml:space="preserve">. In most cases, schools must use the Paid Lunch Equity (PLE) Tool to determine compliance with the target price. However, there are three cases </w:t>
      </w:r>
      <w:r w:rsidR="0077041C">
        <w:t>in which</w:t>
      </w:r>
      <w:r w:rsidRPr="00EB4A71">
        <w:t xml:space="preserve"> an SFA does not have to complete the PLE</w:t>
      </w:r>
      <w:r w:rsidR="0077041C">
        <w:t xml:space="preserve"> Tool</w:t>
      </w:r>
      <w:r w:rsidRPr="00EB4A71">
        <w:t xml:space="preserve">. Please complete the following form to indicate to the State how you intend to handle the </w:t>
      </w:r>
      <w:r w:rsidR="0077041C">
        <w:t>PLE Tool</w:t>
      </w:r>
      <w:r w:rsidRPr="00EB4A71">
        <w:t xml:space="preserve"> for SY </w:t>
      </w:r>
      <w:r w:rsidR="00C329AE">
        <w:t>20</w:t>
      </w:r>
      <w:r w:rsidR="0077041C">
        <w:t>2</w:t>
      </w:r>
      <w:r w:rsidR="009165E9">
        <w:t>1</w:t>
      </w:r>
      <w:r w:rsidR="0077041C">
        <w:t>-</w:t>
      </w:r>
      <w:r w:rsidR="00C329AE">
        <w:t>20</w:t>
      </w:r>
      <w:r w:rsidR="0077041C">
        <w:t>2</w:t>
      </w:r>
      <w:r w:rsidR="009165E9">
        <w:t>2</w:t>
      </w:r>
      <w:r w:rsidRPr="00EB4A71">
        <w:t xml:space="preserve">. Upload this completed form, and the PLE </w:t>
      </w:r>
      <w:r w:rsidR="0077041C">
        <w:t>T</w:t>
      </w:r>
      <w:r w:rsidRPr="00EB4A71">
        <w:t>ool</w:t>
      </w:r>
      <w:r w:rsidR="0077041C">
        <w:t>,</w:t>
      </w:r>
      <w:r w:rsidRPr="00EB4A71">
        <w:t xml:space="preserve"> if applicable, </w:t>
      </w:r>
      <w:r w:rsidR="00962538">
        <w:t xml:space="preserve">to your Harvest application. </w:t>
      </w:r>
      <w:r w:rsidRPr="00EB4A71">
        <w:t xml:space="preserve"> </w:t>
      </w:r>
    </w:p>
    <w:p w14:paraId="13A837F1" w14:textId="77777777" w:rsidR="00EB4A71" w:rsidRPr="00EB4A71" w:rsidRDefault="00EB4A71" w:rsidP="00EB4A71">
      <w:pPr>
        <w:spacing w:before="0" w:after="0" w:line="240" w:lineRule="auto"/>
      </w:pPr>
    </w:p>
    <w:p w14:paraId="3776E4C1" w14:textId="77777777" w:rsidR="00EB4A71" w:rsidRPr="00EB4A71" w:rsidRDefault="00EB4A71" w:rsidP="00EB4A71">
      <w:pPr>
        <w:numPr>
          <w:ilvl w:val="0"/>
          <w:numId w:val="33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>_______________________________________(SFA Name) is not completing the Paid Lunch Equity Tool because we qualify for the following exemption:</w:t>
      </w:r>
    </w:p>
    <w:p w14:paraId="67328F89" w14:textId="372BDF3D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>As of December 31, 20</w:t>
      </w:r>
      <w:r w:rsidR="00962538">
        <w:rPr>
          <w:rFonts w:eastAsiaTheme="minorEastAsia"/>
        </w:rPr>
        <w:t>20</w:t>
      </w:r>
      <w:r>
        <w:rPr>
          <w:rFonts w:eastAsiaTheme="minorEastAsia"/>
        </w:rPr>
        <w:t>,</w:t>
      </w:r>
      <w:r w:rsidRPr="00EB4A71">
        <w:rPr>
          <w:rFonts w:eastAsiaTheme="minorEastAsia"/>
        </w:rPr>
        <w:t xml:space="preserve"> our SFA had a positive or zero balance in the non-profit school food service account. </w:t>
      </w:r>
      <w:r w:rsidRPr="00EB4A71">
        <w:rPr>
          <w:rFonts w:eastAsiaTheme="minorEastAsia"/>
          <w:i/>
        </w:rPr>
        <w:t>See</w:t>
      </w:r>
      <w:r w:rsidR="0077041C">
        <w:rPr>
          <w:rFonts w:eastAsiaTheme="minorEastAsia"/>
          <w:i/>
        </w:rPr>
        <w:t xml:space="preserve"> </w:t>
      </w:r>
      <w:hyperlink r:id="rId11" w:history="1">
        <w:r w:rsidR="0077041C" w:rsidRPr="0077041C">
          <w:rPr>
            <w:rStyle w:val="Hyperlink"/>
            <w:rFonts w:eastAsiaTheme="minorEastAsia" w:cs="Calibri"/>
            <w:i/>
          </w:rPr>
          <w:t>USDA Policy Memo SP 07-2020</w:t>
        </w:r>
      </w:hyperlink>
      <w:r w:rsidRPr="00EB4A71">
        <w:rPr>
          <w:rFonts w:eastAsiaTheme="minorEastAsia"/>
          <w:i/>
        </w:rPr>
        <w:t xml:space="preserve"> for more information on this exemption.</w:t>
      </w:r>
      <w:r w:rsidRPr="00EB4A71">
        <w:rPr>
          <w:rFonts w:eastAsiaTheme="minorEastAsia"/>
        </w:rPr>
        <w:t xml:space="preserve">  </w:t>
      </w:r>
      <w:r w:rsidRPr="00EB4A71">
        <w:rPr>
          <w:rFonts w:eastAsiaTheme="minorEastAsia"/>
          <w:i/>
        </w:rPr>
        <w:t>If selecting this item, you must also attach a profit and loss statement for the non-profit school food service account showing the balance as of December 31, 20</w:t>
      </w:r>
      <w:r w:rsidR="00962538">
        <w:rPr>
          <w:rFonts w:eastAsiaTheme="minorEastAsia"/>
          <w:i/>
        </w:rPr>
        <w:t>20</w:t>
      </w:r>
      <w:r w:rsidRPr="00EB4A71">
        <w:rPr>
          <w:rFonts w:eastAsiaTheme="minorEastAsia"/>
          <w:i/>
        </w:rPr>
        <w:t xml:space="preserve">. </w:t>
      </w:r>
    </w:p>
    <w:p w14:paraId="19B9694B" w14:textId="7718C4DD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The lunch price at all </w:t>
      </w:r>
      <w:r w:rsidR="00C75F17">
        <w:rPr>
          <w:rFonts w:eastAsiaTheme="minorEastAsia"/>
        </w:rPr>
        <w:t>P</w:t>
      </w:r>
      <w:r w:rsidRPr="00EB4A71">
        <w:rPr>
          <w:rFonts w:eastAsiaTheme="minorEastAsia"/>
        </w:rPr>
        <w:t>ricing</w:t>
      </w:r>
      <w:r w:rsidR="00C75F17">
        <w:rPr>
          <w:rFonts w:eastAsiaTheme="minorEastAsia"/>
        </w:rPr>
        <w:t xml:space="preserve"> </w:t>
      </w:r>
      <w:r w:rsidRPr="00EB4A71">
        <w:rPr>
          <w:rFonts w:eastAsiaTheme="minorEastAsia"/>
        </w:rPr>
        <w:t>sites within the SFA is at or above the target price of $3</w:t>
      </w:r>
      <w:r w:rsidR="00FD1468">
        <w:rPr>
          <w:rFonts w:eastAsiaTheme="minorEastAsia"/>
        </w:rPr>
        <w:t>.</w:t>
      </w:r>
      <w:r w:rsidR="00962538">
        <w:rPr>
          <w:rFonts w:eastAsiaTheme="minorEastAsia"/>
        </w:rPr>
        <w:t>18</w:t>
      </w:r>
      <w:r w:rsidRPr="00EB4A71">
        <w:rPr>
          <w:rFonts w:eastAsiaTheme="minorEastAsia"/>
        </w:rPr>
        <w:t xml:space="preserve"> for the </w:t>
      </w:r>
      <w:r w:rsidR="00C329AE">
        <w:rPr>
          <w:rFonts w:eastAsiaTheme="minorEastAsia"/>
        </w:rPr>
        <w:t>20</w:t>
      </w:r>
      <w:r w:rsidR="00C75F17">
        <w:rPr>
          <w:rFonts w:eastAsiaTheme="minorEastAsia"/>
        </w:rPr>
        <w:t>2</w:t>
      </w:r>
      <w:r w:rsidR="00962538">
        <w:rPr>
          <w:rFonts w:eastAsiaTheme="minorEastAsia"/>
        </w:rPr>
        <w:t>1</w:t>
      </w:r>
      <w:r w:rsidR="00C75F17">
        <w:rPr>
          <w:rFonts w:eastAsiaTheme="minorEastAsia"/>
        </w:rPr>
        <w:t>-</w:t>
      </w:r>
      <w:r w:rsidR="00C329AE">
        <w:rPr>
          <w:rFonts w:eastAsiaTheme="minorEastAsia"/>
        </w:rPr>
        <w:t>20</w:t>
      </w:r>
      <w:r w:rsidR="00C75F17">
        <w:rPr>
          <w:rFonts w:eastAsiaTheme="minorEastAsia"/>
        </w:rPr>
        <w:t>2</w:t>
      </w:r>
      <w:r w:rsidR="00962538">
        <w:rPr>
          <w:rFonts w:eastAsiaTheme="minorEastAsia"/>
        </w:rPr>
        <w:t>2</w:t>
      </w:r>
      <w:r w:rsidRPr="00EB4A71">
        <w:rPr>
          <w:rFonts w:eastAsiaTheme="minorEastAsia"/>
        </w:rPr>
        <w:t xml:space="preserve"> school year.</w:t>
      </w:r>
    </w:p>
    <w:p w14:paraId="790912A6" w14:textId="5CE329C2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All sites within the SFA are </w:t>
      </w:r>
      <w:r w:rsidR="00C75F17">
        <w:rPr>
          <w:rFonts w:eastAsiaTheme="minorEastAsia"/>
        </w:rPr>
        <w:t>N</w:t>
      </w:r>
      <w:r w:rsidRPr="00EB4A71">
        <w:rPr>
          <w:rFonts w:eastAsiaTheme="minorEastAsia"/>
        </w:rPr>
        <w:t>on-pricing (RCCIs, Provision 2,</w:t>
      </w:r>
      <w:r w:rsidR="00D05527">
        <w:rPr>
          <w:rFonts w:eastAsiaTheme="minorEastAsia"/>
        </w:rPr>
        <w:t xml:space="preserve"> Community Eligibility Provision</w:t>
      </w:r>
      <w:r w:rsidRPr="00EB4A71">
        <w:rPr>
          <w:rFonts w:eastAsiaTheme="minorEastAsia"/>
        </w:rPr>
        <w:t xml:space="preserve"> </w:t>
      </w:r>
      <w:r w:rsidR="00D05527">
        <w:rPr>
          <w:rFonts w:eastAsiaTheme="minorEastAsia"/>
        </w:rPr>
        <w:t>(</w:t>
      </w:r>
      <w:r w:rsidRPr="00EB4A71">
        <w:rPr>
          <w:rFonts w:eastAsiaTheme="minorEastAsia"/>
        </w:rPr>
        <w:t>CEP</w:t>
      </w:r>
      <w:r w:rsidR="00D05527">
        <w:rPr>
          <w:rFonts w:eastAsiaTheme="minorEastAsia"/>
        </w:rPr>
        <w:t>)</w:t>
      </w:r>
      <w:r w:rsidRPr="00EB4A71">
        <w:rPr>
          <w:rFonts w:eastAsiaTheme="minorEastAsia"/>
        </w:rPr>
        <w:t xml:space="preserve">, or other </w:t>
      </w:r>
      <w:r w:rsidR="00C75F17">
        <w:rPr>
          <w:rFonts w:eastAsiaTheme="minorEastAsia"/>
        </w:rPr>
        <w:t>N</w:t>
      </w:r>
      <w:r w:rsidRPr="00EB4A71">
        <w:rPr>
          <w:rFonts w:eastAsiaTheme="minorEastAsia"/>
        </w:rPr>
        <w:t>on-pricing)</w:t>
      </w:r>
    </w:p>
    <w:p w14:paraId="6C1D512E" w14:textId="77777777" w:rsidR="00EB4A71" w:rsidRPr="00EB4A71" w:rsidRDefault="00EB4A71" w:rsidP="00EB4A71">
      <w:pPr>
        <w:spacing w:before="0" w:after="200" w:line="276" w:lineRule="auto"/>
        <w:ind w:left="1440"/>
        <w:contextualSpacing/>
        <w:rPr>
          <w:rFonts w:eastAsiaTheme="minorEastAsia"/>
        </w:rPr>
      </w:pPr>
    </w:p>
    <w:p w14:paraId="3BC03AB0" w14:textId="77777777" w:rsidR="00EB4A71" w:rsidRPr="00EB4A71" w:rsidRDefault="00EB4A71" w:rsidP="00EB4A71">
      <w:pPr>
        <w:numPr>
          <w:ilvl w:val="0"/>
          <w:numId w:val="33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>_______________________________________(SFA Name) has completed the Paid Lunch Equity Tool and:</w:t>
      </w:r>
    </w:p>
    <w:p w14:paraId="589837D8" w14:textId="77777777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>We are not required to increase our lunch prices.</w:t>
      </w:r>
    </w:p>
    <w:p w14:paraId="62A3455D" w14:textId="77777777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We are raising our lunch prices by the amount required in the PLE Tool or by $0.10. </w:t>
      </w:r>
      <w:r w:rsidRPr="00EB4A71">
        <w:rPr>
          <w:rFonts w:eastAsiaTheme="minorEastAsia"/>
          <w:i/>
        </w:rPr>
        <w:t>SFAs are not required to increase prices by more than $0.10 in one year.</w:t>
      </w:r>
    </w:p>
    <w:p w14:paraId="2CA8F034" w14:textId="77777777" w:rsidR="00EB4A71" w:rsidRPr="00EB4A71" w:rsidRDefault="00EB4A71" w:rsidP="00EB4A71">
      <w:pPr>
        <w:numPr>
          <w:ilvl w:val="0"/>
          <w:numId w:val="32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We are not raising our prices and are providing non-federal funds to cover the balance of the required price increase. </w:t>
      </w:r>
    </w:p>
    <w:p w14:paraId="6813D88D" w14:textId="77777777" w:rsidR="00EB4A71" w:rsidRPr="00EB4A71" w:rsidRDefault="00EB4A71" w:rsidP="00EB4A71">
      <w:pPr>
        <w:numPr>
          <w:ilvl w:val="2"/>
          <w:numId w:val="33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Source of </w:t>
      </w:r>
      <w:r w:rsidR="00C75F17">
        <w:rPr>
          <w:rFonts w:eastAsiaTheme="minorEastAsia"/>
        </w:rPr>
        <w:t>n</w:t>
      </w:r>
      <w:r w:rsidRPr="00EB4A71">
        <w:rPr>
          <w:rFonts w:eastAsiaTheme="minorEastAsia"/>
        </w:rPr>
        <w:t>on-federal funds: ________________________</w:t>
      </w:r>
    </w:p>
    <w:p w14:paraId="5C677502" w14:textId="77777777" w:rsidR="00EB4A71" w:rsidRPr="00EB4A71" w:rsidRDefault="00EB4A71" w:rsidP="00EB4A71">
      <w:pPr>
        <w:numPr>
          <w:ilvl w:val="2"/>
          <w:numId w:val="33"/>
        </w:numPr>
        <w:spacing w:before="0" w:after="200" w:line="276" w:lineRule="auto"/>
        <w:contextualSpacing/>
        <w:rPr>
          <w:rFonts w:eastAsiaTheme="minorEastAsia"/>
        </w:rPr>
      </w:pPr>
      <w:r w:rsidRPr="00EB4A71">
        <w:rPr>
          <w:rFonts w:eastAsiaTheme="minorEastAsia"/>
        </w:rPr>
        <w:t xml:space="preserve">Amount of </w:t>
      </w:r>
      <w:r w:rsidR="00C75F17">
        <w:rPr>
          <w:rFonts w:eastAsiaTheme="minorEastAsia"/>
        </w:rPr>
        <w:t>n</w:t>
      </w:r>
      <w:r w:rsidRPr="00EB4A71">
        <w:rPr>
          <w:rFonts w:eastAsiaTheme="minorEastAsia"/>
        </w:rPr>
        <w:t>on-federal funds:_______________________</w:t>
      </w:r>
    </w:p>
    <w:p w14:paraId="0800BB20" w14:textId="77777777" w:rsidR="00C75F17" w:rsidRDefault="00C75F17" w:rsidP="00C75F17">
      <w:pPr>
        <w:spacing w:before="0" w:after="0" w:line="240" w:lineRule="auto"/>
        <w:rPr>
          <w:b/>
        </w:rPr>
      </w:pPr>
    </w:p>
    <w:p w14:paraId="1F177599" w14:textId="77777777" w:rsidR="00781CCF" w:rsidRPr="001D11ED" w:rsidRDefault="00EB4A71" w:rsidP="00C75F17">
      <w:pPr>
        <w:spacing w:before="0" w:after="0" w:line="240" w:lineRule="auto"/>
      </w:pPr>
      <w:r w:rsidRPr="00EB4A71">
        <w:rPr>
          <w:b/>
        </w:rPr>
        <w:t xml:space="preserve">*Please remember that only one PLE tool should be completed for the entire SFA. The tool should include all </w:t>
      </w:r>
      <w:r w:rsidR="00C75F17">
        <w:rPr>
          <w:b/>
        </w:rPr>
        <w:t>P</w:t>
      </w:r>
      <w:r w:rsidRPr="00EB4A71">
        <w:rPr>
          <w:b/>
        </w:rPr>
        <w:t>ricing programs within the SFA.</w:t>
      </w:r>
    </w:p>
    <w:sectPr w:rsidR="00781CCF" w:rsidRPr="001D11ED" w:rsidSect="00B66234"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08DA" w14:textId="77777777" w:rsidR="00567B73" w:rsidRDefault="00567B73" w:rsidP="004062C7">
      <w:r>
        <w:separator/>
      </w:r>
    </w:p>
  </w:endnote>
  <w:endnote w:type="continuationSeparator" w:id="0">
    <w:p w14:paraId="1B3DE0EA" w14:textId="77777777" w:rsidR="00567B73" w:rsidRDefault="00567B73" w:rsidP="004062C7">
      <w:r>
        <w:continuationSeparator/>
      </w:r>
    </w:p>
  </w:endnote>
  <w:endnote w:type="continuationNotice" w:id="1">
    <w:p w14:paraId="44D1375B" w14:textId="77777777" w:rsidR="00567B73" w:rsidRDefault="00567B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7"/>
      <w:gridCol w:w="1583"/>
      <w:gridCol w:w="3650"/>
    </w:tblGrid>
    <w:tr w:rsidR="00796D5F" w14:paraId="6E929A76" w14:textId="77777777" w:rsidTr="00774ECD">
      <w:trPr>
        <w:cantSplit/>
        <w:trHeight w:val="633"/>
        <w:tblHeader/>
      </w:trPr>
      <w:tc>
        <w:tcPr>
          <w:tcW w:w="4248" w:type="dxa"/>
        </w:tcPr>
        <w:p w14:paraId="366844C8" w14:textId="4A4D1FE7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4D4FA9">
            <w:rPr>
              <w:noProof/>
            </w:rPr>
            <w:t>June 1, 2020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592385E5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2D488D8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3E42E97" wp14:editId="33DC1CFD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3C9276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C64" w14:textId="77777777" w:rsidR="006912CB" w:rsidRDefault="00E92FCA" w:rsidP="00C75F17">
    <w:pPr>
      <w:pStyle w:val="Foo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4D9BF" wp14:editId="5EB26BF9">
          <wp:simplePos x="0" y="0"/>
          <wp:positionH relativeFrom="column">
            <wp:posOffset>5366385</wp:posOffset>
          </wp:positionH>
          <wp:positionV relativeFrom="paragraph">
            <wp:posOffset>-589915</wp:posOffset>
          </wp:positionV>
          <wp:extent cx="575945" cy="658495"/>
          <wp:effectExtent l="0" t="0" r="0" b="8255"/>
          <wp:wrapNone/>
          <wp:docPr id="133" name="Picture 133" title="State of Vermo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title="State of Vermo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DE50565" wp14:editId="560D0101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9DE23B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" strokeweight=".5pt">
              <w10:anchorlock/>
            </v:shape>
          </w:pict>
        </mc:Fallback>
      </mc:AlternateContent>
    </w:r>
  </w:p>
  <w:p w14:paraId="1EA018CF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F792" w14:textId="77777777" w:rsidR="00567B73" w:rsidRDefault="00567B73" w:rsidP="004062C7">
      <w:r>
        <w:separator/>
      </w:r>
    </w:p>
  </w:footnote>
  <w:footnote w:type="continuationSeparator" w:id="0">
    <w:p w14:paraId="002A1F1B" w14:textId="77777777" w:rsidR="00567B73" w:rsidRDefault="00567B73" w:rsidP="004062C7">
      <w:r>
        <w:continuationSeparator/>
      </w:r>
    </w:p>
  </w:footnote>
  <w:footnote w:type="continuationNotice" w:id="1">
    <w:p w14:paraId="4884F04B" w14:textId="77777777" w:rsidR="00567B73" w:rsidRDefault="00567B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33AA27D8" w14:textId="77777777" w:rsidTr="00FA04BA">
      <w:tc>
        <w:tcPr>
          <w:tcW w:w="4320" w:type="dxa"/>
        </w:tcPr>
        <w:p w14:paraId="6024A553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1E50F05A" wp14:editId="22216964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8E7598F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5E63BF2E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21C76509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6B46"/>
    <w:multiLevelType w:val="hybridMultilevel"/>
    <w:tmpl w:val="4F0CFCF4"/>
    <w:lvl w:ilvl="0" w:tplc="5E622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535BB"/>
    <w:multiLevelType w:val="hybridMultilevel"/>
    <w:tmpl w:val="ADC606EE"/>
    <w:lvl w:ilvl="0" w:tplc="5E622F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20"/>
  </w:num>
  <w:num w:numId="5">
    <w:abstractNumId w:val="21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29"/>
  </w:num>
  <w:num w:numId="11">
    <w:abstractNumId w:val="17"/>
  </w:num>
  <w:num w:numId="12">
    <w:abstractNumId w:val="9"/>
  </w:num>
  <w:num w:numId="13">
    <w:abstractNumId w:val="31"/>
  </w:num>
  <w:num w:numId="14">
    <w:abstractNumId w:val="10"/>
  </w:num>
  <w:num w:numId="15">
    <w:abstractNumId w:val="30"/>
  </w:num>
  <w:num w:numId="16">
    <w:abstractNumId w:val="4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7"/>
  </w:num>
  <w:num w:numId="25">
    <w:abstractNumId w:val="2"/>
  </w:num>
  <w:num w:numId="26">
    <w:abstractNumId w:val="3"/>
  </w:num>
  <w:num w:numId="27">
    <w:abstractNumId w:val="24"/>
  </w:num>
  <w:num w:numId="28">
    <w:abstractNumId w:val="25"/>
  </w:num>
  <w:num w:numId="29">
    <w:abstractNumId w:val="16"/>
  </w:num>
  <w:num w:numId="30">
    <w:abstractNumId w:val="8"/>
  </w:num>
  <w:num w:numId="31">
    <w:abstractNumId w:val="0"/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EB4A71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62BBD"/>
    <w:rsid w:val="00380FF5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D4FA9"/>
    <w:rsid w:val="004E0D87"/>
    <w:rsid w:val="00500232"/>
    <w:rsid w:val="00505A69"/>
    <w:rsid w:val="00536AA0"/>
    <w:rsid w:val="005464E9"/>
    <w:rsid w:val="00566B8A"/>
    <w:rsid w:val="0056727F"/>
    <w:rsid w:val="00567B73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12CB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041C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165E9"/>
    <w:rsid w:val="0092656D"/>
    <w:rsid w:val="00937F53"/>
    <w:rsid w:val="00937FFC"/>
    <w:rsid w:val="0094350D"/>
    <w:rsid w:val="00961A6D"/>
    <w:rsid w:val="00961CDA"/>
    <w:rsid w:val="00962538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329AE"/>
    <w:rsid w:val="00C45437"/>
    <w:rsid w:val="00C712A7"/>
    <w:rsid w:val="00C75F17"/>
    <w:rsid w:val="00C97C17"/>
    <w:rsid w:val="00CA71B2"/>
    <w:rsid w:val="00CB29BB"/>
    <w:rsid w:val="00CC230C"/>
    <w:rsid w:val="00CD21BC"/>
    <w:rsid w:val="00CF4EFE"/>
    <w:rsid w:val="00D04EC2"/>
    <w:rsid w:val="00D05527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0273"/>
    <w:rsid w:val="00DF7A10"/>
    <w:rsid w:val="00E2171D"/>
    <w:rsid w:val="00E30534"/>
    <w:rsid w:val="00E606BA"/>
    <w:rsid w:val="00E773E9"/>
    <w:rsid w:val="00E9189B"/>
    <w:rsid w:val="00E92FCA"/>
    <w:rsid w:val="00EB4A71"/>
    <w:rsid w:val="00ED3A89"/>
    <w:rsid w:val="00ED49D5"/>
    <w:rsid w:val="00F13432"/>
    <w:rsid w:val="00F16A4F"/>
    <w:rsid w:val="00F234A0"/>
    <w:rsid w:val="00F41E27"/>
    <w:rsid w:val="00F65CB1"/>
    <w:rsid w:val="00F661E5"/>
    <w:rsid w:val="00F76AD8"/>
    <w:rsid w:val="00F90A87"/>
    <w:rsid w:val="00FA084B"/>
    <w:rsid w:val="00FA47FB"/>
    <w:rsid w:val="00FD1468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33F48"/>
  <w15:docId w15:val="{07988871-7153-4217-A1E0-FC0938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41C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41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41C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ns-prod.azureedge.net/sites/default/files/resource-files/SP07-2020o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ild%20Nutrition%20Workgroup\Templates%20-%20Child%20Nutrition\CNP%20Basi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57379BEA8F48B1745FD639733ABD" ma:contentTypeVersion="11" ma:contentTypeDescription="Create a new document." ma:contentTypeScope="" ma:versionID="feae5d2614af21a481ca69af394b3e9c">
  <xsd:schema xmlns:xsd="http://www.w3.org/2001/XMLSchema" xmlns:xs="http://www.w3.org/2001/XMLSchema" xmlns:p="http://schemas.microsoft.com/office/2006/metadata/properties" xmlns:ns2="913f04b1-e25f-4b02-8257-8926e6d1e29e" xmlns:ns3="42170ec2-62f7-43eb-b878-f93d50a65fd9" targetNamespace="http://schemas.microsoft.com/office/2006/metadata/properties" ma:root="true" ma:fieldsID="2a24ff346a9fb682e616a664853dd462" ns2:_="" ns3:_="">
    <xsd:import namespace="913f04b1-e25f-4b02-8257-8926e6d1e29e"/>
    <xsd:import namespace="42170ec2-62f7-43eb-b878-f93d50a65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04b1-e25f-4b02-8257-8926e6d1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0ec2-62f7-43eb-b878-f93d50a65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70ec2-62f7-43eb-b878-f93d50a65fd9">
      <UserInfo>
        <DisplayName>Connizzo, Kate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4C7570-9996-40AF-9F9F-B7535339C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25519-4FCA-47C3-A950-FA0018A5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04b1-e25f-4b02-8257-8926e6d1e29e"/>
    <ds:schemaRef ds:uri="42170ec2-62f7-43eb-b878-f93d50a65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42170ec2-62f7-43eb-b878-f93d50a65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 Basic Template</Template>
  <TotalTime>29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Lunch Equity Intent Form</vt:lpstr>
    </vt:vector>
  </TitlesOfParts>
  <Company>Vermont Agency of Education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Lunch Equity Intent Form</dc:title>
  <dc:creator>Vermont Agency of Education</dc:creator>
  <cp:keywords/>
  <cp:lastModifiedBy>Adams, Ailynne</cp:lastModifiedBy>
  <cp:revision>4</cp:revision>
  <cp:lastPrinted>2015-09-09T16:37:00Z</cp:lastPrinted>
  <dcterms:created xsi:type="dcterms:W3CDTF">2021-10-18T14:55:00Z</dcterms:created>
  <dcterms:modified xsi:type="dcterms:W3CDTF">2021-10-18T15:51:00Z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0x01010037EB57379BEA8F48B1745FD639733ABD</vt:lpwstr>
  </property>
</Properties>
</file>