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2E14" w14:textId="5251151B" w:rsidR="00046AD4" w:rsidRPr="00FA235A" w:rsidRDefault="00FA235A" w:rsidP="00A439A5">
      <w:pPr>
        <w:pStyle w:val="Title"/>
        <w:spacing w:line="240" w:lineRule="auto"/>
        <w:rPr>
          <w:szCs w:val="36"/>
        </w:rPr>
      </w:pPr>
      <w:r w:rsidRPr="00FA235A">
        <w:rPr>
          <w:szCs w:val="36"/>
          <w:highlight w:val="yellow"/>
        </w:rPr>
        <w:t>XXXX</w:t>
      </w:r>
      <w:r w:rsidRPr="00FA235A">
        <w:rPr>
          <w:szCs w:val="36"/>
        </w:rPr>
        <w:t xml:space="preserve"> School</w:t>
      </w:r>
      <w:r w:rsidR="00046AD4" w:rsidRPr="00FA235A">
        <w:rPr>
          <w:szCs w:val="36"/>
        </w:rPr>
        <w:t xml:space="preserve"> District</w:t>
      </w:r>
    </w:p>
    <w:p w14:paraId="0F4BBC97" w14:textId="010CADF0" w:rsidR="00931021" w:rsidRDefault="00373B17" w:rsidP="00192015">
      <w:pPr>
        <w:pStyle w:val="Title"/>
        <w:spacing w:line="240" w:lineRule="auto"/>
        <w:rPr>
          <w:szCs w:val="36"/>
        </w:rPr>
      </w:pPr>
      <w:r>
        <w:rPr>
          <w:szCs w:val="36"/>
        </w:rPr>
        <w:t xml:space="preserve">Exhibit </w:t>
      </w:r>
      <w:r w:rsidR="004B63C3">
        <w:rPr>
          <w:szCs w:val="36"/>
        </w:rPr>
        <w:t>L</w:t>
      </w:r>
      <w:r w:rsidR="00FA235A" w:rsidRPr="00FA235A">
        <w:rPr>
          <w:szCs w:val="36"/>
        </w:rPr>
        <w:t xml:space="preserve">: </w:t>
      </w:r>
      <w:r w:rsidR="000F6CEC" w:rsidRPr="00FA235A">
        <w:rPr>
          <w:szCs w:val="36"/>
        </w:rPr>
        <w:t>Bidder Responsibility and Responsiveness Criteria</w:t>
      </w:r>
    </w:p>
    <w:p w14:paraId="7A41CA11" w14:textId="7E38C2D1" w:rsidR="00722BEA" w:rsidRPr="005E009F" w:rsidRDefault="00722BEA" w:rsidP="008F4429">
      <w:pPr>
        <w:ind w:right="270"/>
        <w:jc w:val="center"/>
        <w:rPr>
          <w:b/>
          <w:color w:val="FF0000"/>
        </w:rPr>
      </w:pPr>
      <w:r w:rsidRPr="005E009F">
        <w:rPr>
          <w:b/>
          <w:color w:val="FF0000"/>
        </w:rPr>
        <w:t>[SAMPLE ONLY – SFA SHOULD MAKE SPECIFIC TO THEIR NEEDS</w:t>
      </w:r>
      <w:r w:rsidR="008F4429">
        <w:rPr>
          <w:b/>
          <w:color w:val="FF0000"/>
        </w:rPr>
        <w:t xml:space="preserve">. The criteria listed here should </w:t>
      </w:r>
      <w:r w:rsidR="00714BA2">
        <w:rPr>
          <w:b/>
          <w:color w:val="FF0000"/>
        </w:rPr>
        <w:t>mirror</w:t>
      </w:r>
      <w:r w:rsidR="008F4429">
        <w:rPr>
          <w:b/>
          <w:color w:val="FF0000"/>
        </w:rPr>
        <w:t xml:space="preserve"> the criteria in </w:t>
      </w:r>
      <w:r w:rsidR="008F4429" w:rsidRPr="008F4429">
        <w:rPr>
          <w:b/>
          <w:color w:val="FF0000"/>
        </w:rPr>
        <w:t>Attachment 2: RFP Evaluation Rubric</w:t>
      </w:r>
      <w:r w:rsidR="008F4429">
        <w:rPr>
          <w:b/>
          <w:color w:val="FF0000"/>
        </w:rPr>
        <w:t>.</w:t>
      </w:r>
      <w:r w:rsidRPr="005E009F">
        <w:rPr>
          <w:b/>
          <w:color w:val="FF0000"/>
        </w:rPr>
        <w:t>]</w:t>
      </w:r>
    </w:p>
    <w:p w14:paraId="59F371A6" w14:textId="77777777" w:rsidR="000F6CEC" w:rsidRDefault="000F6CEC" w:rsidP="000F6CEC"/>
    <w:tbl>
      <w:tblPr>
        <w:tblStyle w:val="TableGrid"/>
        <w:tblW w:w="10530" w:type="dxa"/>
        <w:tblInd w:w="-432" w:type="dxa"/>
        <w:tblLook w:val="04A0" w:firstRow="1" w:lastRow="0" w:firstColumn="1" w:lastColumn="0" w:noHBand="0" w:noVBand="1"/>
      </w:tblPr>
      <w:tblGrid>
        <w:gridCol w:w="3414"/>
        <w:gridCol w:w="3195"/>
        <w:gridCol w:w="3921"/>
      </w:tblGrid>
      <w:tr w:rsidR="000F6CEC" w:rsidRPr="00FA235A" w14:paraId="078F2F19" w14:textId="77777777" w:rsidTr="00871F69">
        <w:trPr>
          <w:trHeight w:val="536"/>
          <w:tblHeader/>
        </w:trPr>
        <w:tc>
          <w:tcPr>
            <w:tcW w:w="3414" w:type="dxa"/>
          </w:tcPr>
          <w:p w14:paraId="6B5BC20C" w14:textId="77777777" w:rsidR="000F6CEC" w:rsidRPr="00871F69" w:rsidRDefault="000F6CEC" w:rsidP="00284156">
            <w:pPr>
              <w:jc w:val="center"/>
              <w:rPr>
                <w:rFonts w:ascii="Franklin Gothic Demi Cond" w:hAnsi="Franklin Gothic Demi Cond" w:cs="Times New Roman"/>
                <w:sz w:val="24"/>
                <w:szCs w:val="24"/>
              </w:rPr>
            </w:pPr>
            <w:r w:rsidRPr="00871F69">
              <w:rPr>
                <w:rFonts w:ascii="Franklin Gothic Demi Cond" w:hAnsi="Franklin Gothic Demi Cond" w:cs="Times New Roman"/>
                <w:sz w:val="24"/>
                <w:szCs w:val="24"/>
              </w:rPr>
              <w:t>Bidder Responsibility and</w:t>
            </w:r>
          </w:p>
          <w:p w14:paraId="3A3030E8" w14:textId="77777777" w:rsidR="000F6CEC" w:rsidRPr="00871F69" w:rsidRDefault="000F6CEC" w:rsidP="00284156">
            <w:pPr>
              <w:jc w:val="center"/>
              <w:rPr>
                <w:rFonts w:ascii="Franklin Gothic Demi Cond" w:hAnsi="Franklin Gothic Demi Cond"/>
                <w:sz w:val="24"/>
                <w:szCs w:val="24"/>
              </w:rPr>
            </w:pPr>
            <w:r w:rsidRPr="00871F69">
              <w:rPr>
                <w:rFonts w:ascii="Franklin Gothic Demi Cond" w:hAnsi="Franklin Gothic Demi Cond" w:cs="Times New Roman"/>
                <w:sz w:val="24"/>
                <w:szCs w:val="24"/>
              </w:rPr>
              <w:t>Bid Responsiveness Criteria</w:t>
            </w:r>
          </w:p>
        </w:tc>
        <w:tc>
          <w:tcPr>
            <w:tcW w:w="3195" w:type="dxa"/>
          </w:tcPr>
          <w:p w14:paraId="65D11982" w14:textId="77777777" w:rsidR="000F6CEC" w:rsidRPr="00871F69" w:rsidRDefault="000F6CEC" w:rsidP="00284156">
            <w:pPr>
              <w:jc w:val="center"/>
              <w:rPr>
                <w:rFonts w:ascii="Franklin Gothic Demi Cond" w:hAnsi="Franklin Gothic Demi Cond" w:cs="Times New Roman"/>
                <w:sz w:val="24"/>
                <w:szCs w:val="24"/>
              </w:rPr>
            </w:pPr>
            <w:r w:rsidRPr="00871F69">
              <w:rPr>
                <w:rFonts w:ascii="Franklin Gothic Demi Cond" w:hAnsi="Franklin Gothic Demi Cond" w:cs="Times New Roman"/>
                <w:sz w:val="24"/>
                <w:szCs w:val="24"/>
              </w:rPr>
              <w:t>Minimum Standard(s)</w:t>
            </w:r>
          </w:p>
          <w:p w14:paraId="21CC7947" w14:textId="77777777" w:rsidR="000F6CEC" w:rsidRPr="00871F69" w:rsidRDefault="000F6CEC" w:rsidP="00284156">
            <w:pPr>
              <w:jc w:val="center"/>
              <w:rPr>
                <w:rFonts w:ascii="Franklin Gothic Demi Cond" w:hAnsi="Franklin Gothic Demi Cond"/>
                <w:sz w:val="24"/>
                <w:szCs w:val="24"/>
              </w:rPr>
            </w:pPr>
            <w:r w:rsidRPr="00871F69">
              <w:rPr>
                <w:rFonts w:ascii="Franklin Gothic Demi Cond" w:hAnsi="Franklin Gothic Demi Cond" w:cs="Times New Roman"/>
                <w:sz w:val="24"/>
                <w:szCs w:val="24"/>
              </w:rPr>
              <w:t>To Demonstrate Compliance</w:t>
            </w:r>
          </w:p>
        </w:tc>
        <w:tc>
          <w:tcPr>
            <w:tcW w:w="3921" w:type="dxa"/>
          </w:tcPr>
          <w:p w14:paraId="3C556598" w14:textId="77777777" w:rsidR="000F6CEC" w:rsidRPr="00871F69" w:rsidRDefault="000F6CEC" w:rsidP="00284156">
            <w:pPr>
              <w:jc w:val="center"/>
              <w:rPr>
                <w:rFonts w:ascii="Franklin Gothic Demi Cond" w:hAnsi="Franklin Gothic Demi Cond" w:cs="Times New Roman"/>
                <w:sz w:val="24"/>
                <w:szCs w:val="24"/>
              </w:rPr>
            </w:pPr>
            <w:r w:rsidRPr="00871F69">
              <w:rPr>
                <w:rFonts w:ascii="Franklin Gothic Demi Cond" w:hAnsi="Franklin Gothic Demi Cond" w:cs="Times New Roman"/>
                <w:sz w:val="24"/>
                <w:szCs w:val="24"/>
              </w:rPr>
              <w:t>Evidence/Document(s) Required</w:t>
            </w:r>
          </w:p>
          <w:p w14:paraId="33275907" w14:textId="77777777" w:rsidR="000F6CEC" w:rsidRPr="00871F69" w:rsidRDefault="000F6CEC" w:rsidP="00284156">
            <w:pPr>
              <w:jc w:val="center"/>
              <w:rPr>
                <w:rFonts w:ascii="Franklin Gothic Demi Cond" w:hAnsi="Franklin Gothic Demi Cond"/>
                <w:sz w:val="24"/>
                <w:szCs w:val="24"/>
              </w:rPr>
            </w:pPr>
            <w:r w:rsidRPr="00871F69">
              <w:rPr>
                <w:rFonts w:ascii="Franklin Gothic Demi Cond" w:hAnsi="Franklin Gothic Demi Cond" w:cs="Times New Roman"/>
                <w:sz w:val="24"/>
                <w:szCs w:val="24"/>
              </w:rPr>
              <w:t>To Demonstrate Compliance</w:t>
            </w:r>
          </w:p>
        </w:tc>
      </w:tr>
      <w:tr w:rsidR="000F6CEC" w:rsidRPr="00FA235A" w14:paraId="69AB0A13" w14:textId="77777777" w:rsidTr="00871F69">
        <w:trPr>
          <w:trHeight w:val="2197"/>
        </w:trPr>
        <w:tc>
          <w:tcPr>
            <w:tcW w:w="3414" w:type="dxa"/>
          </w:tcPr>
          <w:p w14:paraId="1B0E857C"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t xml:space="preserve">Meal / Menus: </w:t>
            </w:r>
          </w:p>
          <w:p w14:paraId="1723B0C1" w14:textId="77777777" w:rsidR="000F6CEC" w:rsidRPr="00FA235A" w:rsidRDefault="000F6CEC" w:rsidP="00284156">
            <w:pPr>
              <w:jc w:val="center"/>
              <w:rPr>
                <w:rFonts w:cs="Times New Roman"/>
                <w:b/>
              </w:rPr>
            </w:pPr>
          </w:p>
        </w:tc>
        <w:tc>
          <w:tcPr>
            <w:tcW w:w="3195" w:type="dxa"/>
          </w:tcPr>
          <w:p w14:paraId="4F409343" w14:textId="77777777" w:rsidR="000F6CEC" w:rsidRPr="00FA235A" w:rsidRDefault="000F6CEC" w:rsidP="00284156">
            <w:pPr>
              <w:tabs>
                <w:tab w:val="left" w:pos="180"/>
              </w:tabs>
              <w:rPr>
                <w:rFonts w:cs="Times New Roman"/>
                <w:b/>
              </w:rPr>
            </w:pPr>
            <w:r w:rsidRPr="00FA235A">
              <w:rPr>
                <w:rFonts w:cs="Times New Roman"/>
              </w:rPr>
              <w:t>Menus:  Proposed menus meet meal pattern requirements for each school age and grade-group and program.</w:t>
            </w:r>
          </w:p>
        </w:tc>
        <w:tc>
          <w:tcPr>
            <w:tcW w:w="3921" w:type="dxa"/>
          </w:tcPr>
          <w:p w14:paraId="7B5E3F30" w14:textId="782CF008" w:rsidR="000F6CEC" w:rsidRPr="00FA235A" w:rsidRDefault="000F6CEC" w:rsidP="00284156">
            <w:pPr>
              <w:ind w:right="490"/>
              <w:rPr>
                <w:rFonts w:cs="Times New Roman"/>
                <w:b/>
              </w:rPr>
            </w:pPr>
            <w:r w:rsidRPr="00FA235A">
              <w:rPr>
                <w:rFonts w:cs="Times New Roman"/>
              </w:rPr>
              <w:t>Menus:  Menus are prepared and submitted by FSMC, meet meal pattern requirements, and include all current and future proposed programs</w:t>
            </w:r>
            <w:r w:rsidR="00FA235A" w:rsidRPr="00FA235A">
              <w:rPr>
                <w:rFonts w:cs="Times New Roman"/>
              </w:rPr>
              <w:t xml:space="preserve">. </w:t>
            </w:r>
            <w:r w:rsidRPr="00FA235A">
              <w:rPr>
                <w:rFonts w:cs="Times New Roman"/>
              </w:rPr>
              <w:t>RFP menu planning criteria are met; encourage increased participation in all programs sponsored.</w:t>
            </w:r>
          </w:p>
        </w:tc>
      </w:tr>
      <w:tr w:rsidR="000F6CEC" w:rsidRPr="00FA235A" w14:paraId="60D0260A" w14:textId="77777777" w:rsidTr="00871F69">
        <w:trPr>
          <w:trHeight w:val="3284"/>
        </w:trPr>
        <w:tc>
          <w:tcPr>
            <w:tcW w:w="3414" w:type="dxa"/>
          </w:tcPr>
          <w:p w14:paraId="61AE5BA2"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t xml:space="preserve">Breakfast Program: </w:t>
            </w:r>
          </w:p>
        </w:tc>
        <w:tc>
          <w:tcPr>
            <w:tcW w:w="3195" w:type="dxa"/>
          </w:tcPr>
          <w:p w14:paraId="78FE42CB" w14:textId="77777777" w:rsidR="000F6CEC" w:rsidRPr="00FA235A" w:rsidRDefault="000F6CEC" w:rsidP="00284156">
            <w:pPr>
              <w:tabs>
                <w:tab w:val="left" w:pos="180"/>
              </w:tabs>
              <w:rPr>
                <w:rFonts w:cs="Times New Roman"/>
              </w:rPr>
            </w:pPr>
            <w:r w:rsidRPr="00FA235A">
              <w:rPr>
                <w:rFonts w:cs="Times New Roman"/>
              </w:rPr>
              <w:t xml:space="preserve">Breakfast Program: A variety of breakfast menus and options are offered to students. </w:t>
            </w:r>
          </w:p>
        </w:tc>
        <w:tc>
          <w:tcPr>
            <w:tcW w:w="3921" w:type="dxa"/>
          </w:tcPr>
          <w:p w14:paraId="4D5569FE" w14:textId="77777777" w:rsidR="000F6CEC" w:rsidRPr="00FA235A" w:rsidRDefault="000F6CEC" w:rsidP="00284156">
            <w:pPr>
              <w:ind w:right="490"/>
              <w:rPr>
                <w:rFonts w:cs="Times New Roman"/>
              </w:rPr>
            </w:pPr>
            <w:r w:rsidRPr="00FA235A">
              <w:rPr>
                <w:rFonts w:cs="Times New Roman"/>
              </w:rPr>
              <w:t xml:space="preserve">Breakfast Program:  Menus and recipes provided indicate a variety of nutritious, creative, </w:t>
            </w:r>
            <w:proofErr w:type="gramStart"/>
            <w:r w:rsidRPr="00FA235A">
              <w:rPr>
                <w:rFonts w:cs="Times New Roman"/>
              </w:rPr>
              <w:t>hot</w:t>
            </w:r>
            <w:proofErr w:type="gramEnd"/>
            <w:r w:rsidRPr="00FA235A">
              <w:rPr>
                <w:rFonts w:cs="Times New Roman"/>
              </w:rPr>
              <w:t xml:space="preserve"> and cold breakfast options that include freshly prepared items, a variety to support increased participation, have the capacity to offer Grab &amp; Go options or classroom consumption, are appealing to students and staff, and include minimally processed food items as much as possible. </w:t>
            </w:r>
          </w:p>
        </w:tc>
      </w:tr>
      <w:tr w:rsidR="000F6CEC" w:rsidRPr="00FA235A" w14:paraId="414AC157" w14:textId="77777777" w:rsidTr="00A94F23">
        <w:trPr>
          <w:trHeight w:val="512"/>
        </w:trPr>
        <w:tc>
          <w:tcPr>
            <w:tcW w:w="3414" w:type="dxa"/>
          </w:tcPr>
          <w:p w14:paraId="2C5035A3"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t>Staffing:</w:t>
            </w:r>
          </w:p>
        </w:tc>
        <w:tc>
          <w:tcPr>
            <w:tcW w:w="3195" w:type="dxa"/>
          </w:tcPr>
          <w:p w14:paraId="1C266630" w14:textId="77777777" w:rsidR="000F6CEC" w:rsidRPr="00FA235A" w:rsidRDefault="000F6CEC" w:rsidP="00284156">
            <w:pPr>
              <w:tabs>
                <w:tab w:val="left" w:pos="180"/>
              </w:tabs>
              <w:rPr>
                <w:rFonts w:cs="Times New Roman"/>
              </w:rPr>
            </w:pPr>
            <w:r w:rsidRPr="00FA235A">
              <w:rPr>
                <w:rFonts w:cs="Times New Roman"/>
              </w:rPr>
              <w:t xml:space="preserve">Staffing:  Proposed staffing chart for school district. </w:t>
            </w:r>
          </w:p>
        </w:tc>
        <w:tc>
          <w:tcPr>
            <w:tcW w:w="3921" w:type="dxa"/>
          </w:tcPr>
          <w:p w14:paraId="082B0D38" w14:textId="77777777" w:rsidR="000F6CEC" w:rsidRPr="00A94F23" w:rsidRDefault="000F6CEC" w:rsidP="00A94F23">
            <w:pPr>
              <w:ind w:right="76"/>
              <w:rPr>
                <w:rFonts w:cs="Times New Roman"/>
                <w:sz w:val="20"/>
                <w:szCs w:val="20"/>
              </w:rPr>
            </w:pPr>
            <w:r w:rsidRPr="00A94F23">
              <w:rPr>
                <w:rFonts w:cs="Times New Roman"/>
                <w:sz w:val="20"/>
                <w:szCs w:val="20"/>
              </w:rPr>
              <w:t xml:space="preserve">Staffing:  Staffing chart and any addendum equals the hours the minimum staff currently provides and includes thoughtful and supported change of hours or staff to support the improvement in quality and program participation. </w:t>
            </w:r>
          </w:p>
          <w:p w14:paraId="76A6BF49" w14:textId="1F3EE938" w:rsidR="000F6CEC" w:rsidRPr="00A94F23" w:rsidRDefault="000F6CEC" w:rsidP="00A94F23">
            <w:pPr>
              <w:ind w:right="76"/>
              <w:rPr>
                <w:rFonts w:cs="Times New Roman"/>
                <w:sz w:val="20"/>
                <w:szCs w:val="20"/>
              </w:rPr>
            </w:pPr>
            <w:r w:rsidRPr="00A94F23">
              <w:rPr>
                <w:rFonts w:cs="Times New Roman"/>
                <w:sz w:val="20"/>
                <w:szCs w:val="20"/>
              </w:rPr>
              <w:t>Food service staff placement will be vetted for compatibility with positions in schools to support qualified kind, friendly, customer-oriented staff that interact with students and staff at the front of the house</w:t>
            </w:r>
            <w:r w:rsidR="00FA235A" w:rsidRPr="00A94F23">
              <w:rPr>
                <w:rFonts w:cs="Times New Roman"/>
                <w:sz w:val="20"/>
                <w:szCs w:val="20"/>
              </w:rPr>
              <w:t xml:space="preserve">. </w:t>
            </w:r>
          </w:p>
          <w:p w14:paraId="76053838" w14:textId="77777777" w:rsidR="000F6CEC" w:rsidRPr="00A94F23" w:rsidRDefault="000F6CEC" w:rsidP="00A94F23">
            <w:pPr>
              <w:ind w:right="76"/>
              <w:rPr>
                <w:rFonts w:cs="Times New Roman"/>
                <w:sz w:val="20"/>
                <w:szCs w:val="20"/>
              </w:rPr>
            </w:pPr>
            <w:r w:rsidRPr="00A94F23">
              <w:rPr>
                <w:rFonts w:cs="Times New Roman"/>
                <w:sz w:val="20"/>
                <w:szCs w:val="20"/>
              </w:rPr>
              <w:t xml:space="preserve">Evidence of Food Service </w:t>
            </w:r>
            <w:r w:rsidRPr="00A94F23">
              <w:rPr>
                <w:rFonts w:cs="Times New Roman"/>
                <w:sz w:val="20"/>
                <w:szCs w:val="20"/>
              </w:rPr>
              <w:lastRenderedPageBreak/>
              <w:t xml:space="preserve">Director/District On-Site Supervisor’s qualifications is provided. </w:t>
            </w:r>
          </w:p>
        </w:tc>
      </w:tr>
      <w:tr w:rsidR="000F6CEC" w:rsidRPr="00FA235A" w14:paraId="233C788E" w14:textId="77777777" w:rsidTr="00871F69">
        <w:trPr>
          <w:trHeight w:val="1755"/>
        </w:trPr>
        <w:tc>
          <w:tcPr>
            <w:tcW w:w="3414" w:type="dxa"/>
          </w:tcPr>
          <w:p w14:paraId="6BE81054"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lastRenderedPageBreak/>
              <w:t>A la Carte Options:</w:t>
            </w:r>
          </w:p>
        </w:tc>
        <w:tc>
          <w:tcPr>
            <w:tcW w:w="3195" w:type="dxa"/>
          </w:tcPr>
          <w:p w14:paraId="40C74BAB" w14:textId="68472C51" w:rsidR="000F6CEC" w:rsidRPr="00FA235A" w:rsidRDefault="000F6CEC" w:rsidP="00284156">
            <w:pPr>
              <w:tabs>
                <w:tab w:val="left" w:pos="180"/>
              </w:tabs>
              <w:rPr>
                <w:rFonts w:cs="Times New Roman"/>
              </w:rPr>
            </w:pPr>
            <w:r w:rsidRPr="00FA235A">
              <w:rPr>
                <w:rFonts w:cs="Times New Roman"/>
              </w:rPr>
              <w:t>A la Carte:  The company provides a la carte options for sale in the school programs for different grade groupings or school types</w:t>
            </w:r>
            <w:r w:rsidR="00FA235A" w:rsidRPr="00FA235A">
              <w:rPr>
                <w:rFonts w:cs="Times New Roman"/>
              </w:rPr>
              <w:t xml:space="preserve">. </w:t>
            </w:r>
          </w:p>
        </w:tc>
        <w:tc>
          <w:tcPr>
            <w:tcW w:w="3921" w:type="dxa"/>
          </w:tcPr>
          <w:p w14:paraId="38AEC15A" w14:textId="77777777" w:rsidR="000F6CEC" w:rsidRPr="00FA235A" w:rsidRDefault="000F6CEC" w:rsidP="00284156">
            <w:pPr>
              <w:ind w:right="490"/>
              <w:rPr>
                <w:rFonts w:cs="Times New Roman"/>
              </w:rPr>
            </w:pPr>
            <w:r w:rsidRPr="00FA235A">
              <w:rPr>
                <w:rFonts w:cs="Times New Roman"/>
              </w:rPr>
              <w:t xml:space="preserve">A la Carte: The list of items meets the criteria listed in the nutrition and wellness policy and RFP standards, is Smart Snack Compliant and appropriate based on individual school practices and guidance. </w:t>
            </w:r>
          </w:p>
        </w:tc>
      </w:tr>
      <w:tr w:rsidR="000F6CEC" w:rsidRPr="00FA235A" w14:paraId="00E31E46" w14:textId="77777777" w:rsidTr="00871F69">
        <w:trPr>
          <w:trHeight w:val="3296"/>
        </w:trPr>
        <w:tc>
          <w:tcPr>
            <w:tcW w:w="3414" w:type="dxa"/>
          </w:tcPr>
          <w:p w14:paraId="61E9B7C6"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t xml:space="preserve">Program Documentation &amp; Recordkeeping: </w:t>
            </w:r>
          </w:p>
        </w:tc>
        <w:tc>
          <w:tcPr>
            <w:tcW w:w="3195" w:type="dxa"/>
          </w:tcPr>
          <w:p w14:paraId="5E3C1F1D" w14:textId="77777777" w:rsidR="000F6CEC" w:rsidRPr="00FA235A" w:rsidRDefault="000F6CEC" w:rsidP="00284156">
            <w:pPr>
              <w:tabs>
                <w:tab w:val="left" w:pos="180"/>
              </w:tabs>
              <w:rPr>
                <w:rFonts w:cs="Times New Roman"/>
              </w:rPr>
            </w:pPr>
            <w:r w:rsidRPr="00FA235A">
              <w:rPr>
                <w:rFonts w:cs="Times New Roman"/>
              </w:rPr>
              <w:t xml:space="preserve">Program Documentation: The company provides a consolidated monthly invoice to the district. </w:t>
            </w:r>
          </w:p>
        </w:tc>
        <w:tc>
          <w:tcPr>
            <w:tcW w:w="3921" w:type="dxa"/>
          </w:tcPr>
          <w:p w14:paraId="438282DD" w14:textId="5EAFFAEC" w:rsidR="000F6CEC" w:rsidRPr="00FA235A" w:rsidRDefault="000F6CEC" w:rsidP="00284156">
            <w:pPr>
              <w:ind w:right="490"/>
              <w:rPr>
                <w:rFonts w:cs="Times New Roman"/>
              </w:rPr>
            </w:pPr>
            <w:r w:rsidRPr="00FA235A">
              <w:rPr>
                <w:rFonts w:cs="Times New Roman"/>
              </w:rPr>
              <w:t xml:space="preserve">Program Documentation: The monthly invoice and documentation includes meal counts, a la carte sales and equivalents calculated, USDA Foods crediting and inventory data, meal counts by site, site activity reports with meal counts, funds collected and deposited, a la carte sales and catering totals, and any changes in staffing at respective sites.  Information is clear, </w:t>
            </w:r>
            <w:r w:rsidR="00871F69" w:rsidRPr="00FA235A">
              <w:rPr>
                <w:rFonts w:cs="Times New Roman"/>
              </w:rPr>
              <w:t>concise,</w:t>
            </w:r>
            <w:r w:rsidRPr="00FA235A">
              <w:rPr>
                <w:rFonts w:cs="Times New Roman"/>
              </w:rPr>
              <w:t xml:space="preserve"> and compliant.</w:t>
            </w:r>
          </w:p>
        </w:tc>
      </w:tr>
      <w:tr w:rsidR="000F6CEC" w:rsidRPr="00FA235A" w14:paraId="3C356630" w14:textId="77777777" w:rsidTr="00871F69">
        <w:trPr>
          <w:trHeight w:val="2843"/>
        </w:trPr>
        <w:tc>
          <w:tcPr>
            <w:tcW w:w="3414" w:type="dxa"/>
          </w:tcPr>
          <w:p w14:paraId="240D0992"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t xml:space="preserve">Increased Participation: </w:t>
            </w:r>
          </w:p>
        </w:tc>
        <w:tc>
          <w:tcPr>
            <w:tcW w:w="3195" w:type="dxa"/>
          </w:tcPr>
          <w:p w14:paraId="2334EAFA" w14:textId="77777777" w:rsidR="000F6CEC" w:rsidRPr="00FA235A" w:rsidRDefault="000F6CEC" w:rsidP="00284156">
            <w:pPr>
              <w:tabs>
                <w:tab w:val="left" w:pos="180"/>
              </w:tabs>
              <w:rPr>
                <w:rFonts w:cs="Times New Roman"/>
              </w:rPr>
            </w:pPr>
            <w:r w:rsidRPr="00FA235A">
              <w:rPr>
                <w:rFonts w:cs="Times New Roman"/>
              </w:rPr>
              <w:t>Increased Participation:  The company promotes the program and nutrition in the variety of accounts.</w:t>
            </w:r>
          </w:p>
        </w:tc>
        <w:tc>
          <w:tcPr>
            <w:tcW w:w="3921" w:type="dxa"/>
          </w:tcPr>
          <w:p w14:paraId="40273BFE" w14:textId="77777777" w:rsidR="000F6CEC" w:rsidRPr="00FA235A" w:rsidRDefault="000F6CEC" w:rsidP="00284156">
            <w:pPr>
              <w:ind w:right="490"/>
              <w:rPr>
                <w:rFonts w:cs="Times New Roman"/>
              </w:rPr>
            </w:pPr>
            <w:r w:rsidRPr="00FA235A">
              <w:rPr>
                <w:rFonts w:cs="Times New Roman"/>
              </w:rPr>
              <w:t>Descriptions and Examples of promotional and merchandising signage is provided to indicate how the program and meals will be marketed to customers to encourage participation in the programs and to support the value in the program supporting the school district’s health, wellness and nutrition policies and goals.</w:t>
            </w:r>
          </w:p>
        </w:tc>
      </w:tr>
      <w:tr w:rsidR="000F6CEC" w:rsidRPr="00FA235A" w14:paraId="6BD96029" w14:textId="77777777" w:rsidTr="00871F69">
        <w:trPr>
          <w:trHeight w:val="2627"/>
        </w:trPr>
        <w:tc>
          <w:tcPr>
            <w:tcW w:w="3414" w:type="dxa"/>
          </w:tcPr>
          <w:p w14:paraId="679E189A"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t xml:space="preserve">Local Procurement: </w:t>
            </w:r>
          </w:p>
        </w:tc>
        <w:tc>
          <w:tcPr>
            <w:tcW w:w="3195" w:type="dxa"/>
          </w:tcPr>
          <w:p w14:paraId="3722ABA1" w14:textId="77777777" w:rsidR="000F6CEC" w:rsidRPr="00FA235A" w:rsidRDefault="000F6CEC" w:rsidP="00284156">
            <w:pPr>
              <w:tabs>
                <w:tab w:val="left" w:pos="180"/>
              </w:tabs>
              <w:rPr>
                <w:rFonts w:cs="Times New Roman"/>
              </w:rPr>
            </w:pPr>
            <w:r w:rsidRPr="00FA235A">
              <w:rPr>
                <w:rFonts w:cs="Times New Roman"/>
              </w:rPr>
              <w:t xml:space="preserve">Local Procurement: The company purchases and uses local foods in menus per RFP criteria. </w:t>
            </w:r>
          </w:p>
        </w:tc>
        <w:tc>
          <w:tcPr>
            <w:tcW w:w="3921" w:type="dxa"/>
          </w:tcPr>
          <w:p w14:paraId="481F179B" w14:textId="77777777" w:rsidR="000F6CEC" w:rsidRPr="00FA235A" w:rsidRDefault="000F6CEC" w:rsidP="00284156">
            <w:pPr>
              <w:ind w:right="490"/>
              <w:rPr>
                <w:rFonts w:cs="Times New Roman"/>
              </w:rPr>
            </w:pPr>
            <w:r w:rsidRPr="00FA235A">
              <w:rPr>
                <w:rFonts w:cs="Times New Roman"/>
              </w:rPr>
              <w:t xml:space="preserve">Local Procurement:  The company indicates companies it uses to procure local foods for menu implementation, indicates local foods merchandising, and provides sample evidence of documentation of value local purchases as percent of total food purchases per State Law H. 79. </w:t>
            </w:r>
          </w:p>
        </w:tc>
      </w:tr>
      <w:tr w:rsidR="000F6CEC" w:rsidRPr="00FA235A" w14:paraId="5F34E8B4" w14:textId="77777777" w:rsidTr="00871F69">
        <w:trPr>
          <w:trHeight w:val="2854"/>
        </w:trPr>
        <w:tc>
          <w:tcPr>
            <w:tcW w:w="3414" w:type="dxa"/>
          </w:tcPr>
          <w:p w14:paraId="0D4AF058"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lastRenderedPageBreak/>
              <w:t xml:space="preserve">Financial Strength and Viability of the Company: </w:t>
            </w:r>
          </w:p>
        </w:tc>
        <w:tc>
          <w:tcPr>
            <w:tcW w:w="3195" w:type="dxa"/>
          </w:tcPr>
          <w:p w14:paraId="0EF325BB" w14:textId="77777777" w:rsidR="000F6CEC" w:rsidRPr="00FA235A" w:rsidRDefault="000F6CEC" w:rsidP="00284156">
            <w:pPr>
              <w:tabs>
                <w:tab w:val="left" w:pos="180"/>
              </w:tabs>
              <w:rPr>
                <w:rFonts w:cs="Times New Roman"/>
              </w:rPr>
            </w:pPr>
            <w:r w:rsidRPr="00FA235A">
              <w:rPr>
                <w:rFonts w:cs="Times New Roman"/>
              </w:rPr>
              <w:t>Financial Strength and Viability of Company:  Company is financially and administratively capable to operate and provide services to school district.</w:t>
            </w:r>
          </w:p>
        </w:tc>
        <w:tc>
          <w:tcPr>
            <w:tcW w:w="3921" w:type="dxa"/>
          </w:tcPr>
          <w:p w14:paraId="20FB2E88" w14:textId="4E645F16" w:rsidR="000F6CEC" w:rsidRPr="00FA235A" w:rsidRDefault="000F6CEC" w:rsidP="00284156">
            <w:pPr>
              <w:ind w:right="490"/>
              <w:rPr>
                <w:rFonts w:cs="Times New Roman"/>
              </w:rPr>
            </w:pPr>
            <w:r w:rsidRPr="00FA235A">
              <w:rPr>
                <w:rFonts w:cs="Times New Roman"/>
              </w:rPr>
              <w:t>Financial Strength and Viability:  The company submits the most recent 2 years’ Audited Profit and Loss Statements that indicate stability and profitability of the company</w:t>
            </w:r>
            <w:r w:rsidR="00871F69" w:rsidRPr="00FA235A">
              <w:rPr>
                <w:rFonts w:cs="Times New Roman"/>
              </w:rPr>
              <w:t xml:space="preserve">. </w:t>
            </w:r>
            <w:r w:rsidRPr="00FA235A">
              <w:rPr>
                <w:rFonts w:cs="Times New Roman"/>
              </w:rPr>
              <w:t xml:space="preserve">The company provides company staffing information to indicate administrative capability for oversight, management, and program operations. </w:t>
            </w:r>
          </w:p>
        </w:tc>
      </w:tr>
      <w:tr w:rsidR="000F6CEC" w:rsidRPr="00FA235A" w14:paraId="635DB410" w14:textId="77777777" w:rsidTr="00871F69">
        <w:trPr>
          <w:trHeight w:val="2197"/>
        </w:trPr>
        <w:tc>
          <w:tcPr>
            <w:tcW w:w="3414" w:type="dxa"/>
          </w:tcPr>
          <w:p w14:paraId="0BD01E4E" w14:textId="77777777" w:rsidR="000F6CEC" w:rsidRPr="00FA235A" w:rsidRDefault="000F6CEC" w:rsidP="000F6CEC">
            <w:pPr>
              <w:pStyle w:val="ListParagraph"/>
              <w:numPr>
                <w:ilvl w:val="0"/>
                <w:numId w:val="28"/>
              </w:numPr>
              <w:spacing w:after="120" w:line="240" w:lineRule="auto"/>
              <w:rPr>
                <w:rFonts w:ascii="Palatino Linotype" w:hAnsi="Palatino Linotype" w:cs="Times New Roman"/>
                <w:b/>
              </w:rPr>
            </w:pPr>
            <w:r w:rsidRPr="00FA235A">
              <w:rPr>
                <w:rFonts w:ascii="Palatino Linotype" w:hAnsi="Palatino Linotype" w:cs="Times New Roman"/>
                <w:b/>
              </w:rPr>
              <w:t>References:</w:t>
            </w:r>
          </w:p>
        </w:tc>
        <w:tc>
          <w:tcPr>
            <w:tcW w:w="3195" w:type="dxa"/>
          </w:tcPr>
          <w:p w14:paraId="4A2752CE" w14:textId="77777777" w:rsidR="000F6CEC" w:rsidRPr="00FA235A" w:rsidRDefault="000F6CEC" w:rsidP="00284156">
            <w:pPr>
              <w:tabs>
                <w:tab w:val="left" w:pos="180"/>
              </w:tabs>
              <w:rPr>
                <w:rFonts w:cs="Times New Roman"/>
              </w:rPr>
            </w:pPr>
            <w:r w:rsidRPr="00FA235A">
              <w:rPr>
                <w:rFonts w:cs="Times New Roman"/>
              </w:rPr>
              <w:t>References: Company will include three current references of similar program schools.</w:t>
            </w:r>
          </w:p>
        </w:tc>
        <w:tc>
          <w:tcPr>
            <w:tcW w:w="3921" w:type="dxa"/>
          </w:tcPr>
          <w:p w14:paraId="61A072B7" w14:textId="77777777" w:rsidR="000F6CEC" w:rsidRPr="00FA235A" w:rsidRDefault="000F6CEC" w:rsidP="00284156">
            <w:pPr>
              <w:ind w:right="490"/>
              <w:rPr>
                <w:rFonts w:cs="Times New Roman"/>
              </w:rPr>
            </w:pPr>
            <w:r w:rsidRPr="00FA235A">
              <w:rPr>
                <w:rFonts w:cs="Times New Roman"/>
              </w:rPr>
              <w:t>References: Company will submit three current references with contact information, description of account in terms of programs serviced, meal counts, and years of operating these referenced schools. Also include a history of lost accounts.</w:t>
            </w:r>
          </w:p>
        </w:tc>
      </w:tr>
    </w:tbl>
    <w:p w14:paraId="1CD1C4FF" w14:textId="77777777" w:rsidR="000F6CEC" w:rsidRPr="00FA235A" w:rsidRDefault="000F6CEC" w:rsidP="000F6CEC"/>
    <w:p w14:paraId="2D75F3FB" w14:textId="6F639260" w:rsidR="00F90A87" w:rsidRPr="00FA235A" w:rsidRDefault="00F90A87" w:rsidP="000F6CEC">
      <w:pPr>
        <w:pStyle w:val="Title"/>
        <w:spacing w:line="240" w:lineRule="auto"/>
        <w:rPr>
          <w:rFonts w:ascii="Palatino Linotype" w:eastAsia="MS Gothic" w:hAnsi="Palatino Linotype" w:cs="Menlo Regular"/>
          <w:color w:val="000000"/>
          <w:sz w:val="22"/>
        </w:rPr>
      </w:pPr>
    </w:p>
    <w:sectPr w:rsidR="00F90A87" w:rsidRPr="00FA235A" w:rsidSect="00256309">
      <w:footerReference w:type="default" r:id="rId11"/>
      <w:headerReference w:type="first" r:id="rId12"/>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C828" w14:textId="77777777" w:rsidR="00CE226E" w:rsidRDefault="00CE226E" w:rsidP="004062C7">
      <w:r>
        <w:separator/>
      </w:r>
    </w:p>
  </w:endnote>
  <w:endnote w:type="continuationSeparator" w:id="0">
    <w:p w14:paraId="26087444" w14:textId="77777777" w:rsidR="00CE226E" w:rsidRDefault="00CE226E"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enlo Regular">
    <w:altName w:val="DokChampa"/>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3708"/>
    </w:tblGrid>
    <w:tr w:rsidR="00A439A5" w14:paraId="3F7ED3CA" w14:textId="77777777" w:rsidTr="00046AD4">
      <w:trPr>
        <w:cantSplit/>
        <w:trHeight w:val="633"/>
        <w:tblHeader/>
      </w:trPr>
      <w:tc>
        <w:tcPr>
          <w:tcW w:w="4248" w:type="dxa"/>
        </w:tcPr>
        <w:p w14:paraId="0141BA7C" w14:textId="604C799B" w:rsidR="00A439A5" w:rsidRPr="00937FFC" w:rsidRDefault="000F6CEC" w:rsidP="00A439A5">
          <w:pPr>
            <w:rPr>
              <w:sz w:val="20"/>
            </w:rPr>
          </w:pPr>
          <w:r>
            <w:rPr>
              <w:sz w:val="20"/>
            </w:rPr>
            <w:t>Bidder Responsibility and Responsiveness Criteria</w:t>
          </w:r>
          <w:r w:rsidR="009B55B5">
            <w:rPr>
              <w:sz w:val="20"/>
            </w:rPr>
            <w:t xml:space="preserve"> </w:t>
          </w:r>
          <w:r w:rsidR="00A439A5" w:rsidRPr="00937FFC">
            <w:rPr>
              <w:sz w:val="20"/>
            </w:rPr>
            <w:br/>
            <w:t>(Revised</w:t>
          </w:r>
          <w:r w:rsidR="00A439A5">
            <w:rPr>
              <w:sz w:val="20"/>
            </w:rPr>
            <w:t xml:space="preserve">: </w:t>
          </w:r>
          <w:r w:rsidR="00373B17">
            <w:rPr>
              <w:sz w:val="20"/>
            </w:rPr>
            <w:t>October 29, 2021</w:t>
          </w:r>
          <w:r w:rsidR="00A439A5" w:rsidRPr="00937FFC">
            <w:rPr>
              <w:sz w:val="20"/>
            </w:rPr>
            <w:t>)</w:t>
          </w:r>
        </w:p>
      </w:tc>
      <w:tc>
        <w:tcPr>
          <w:tcW w:w="1620" w:type="dxa"/>
        </w:tcPr>
        <w:p w14:paraId="519BC88A" w14:textId="77777777" w:rsidR="00A439A5" w:rsidRPr="00937FFC" w:rsidRDefault="00A439A5"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0242C0">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0242C0" w:rsidRPr="000242C0">
            <w:rPr>
              <w:b/>
              <w:noProof/>
              <w:sz w:val="20"/>
            </w:rPr>
            <w:t>2</w:t>
          </w:r>
          <w:r w:rsidRPr="00937FFC">
            <w:rPr>
              <w:b/>
              <w:noProof/>
              <w:sz w:val="20"/>
            </w:rPr>
            <w:fldChar w:fldCharType="end"/>
          </w:r>
        </w:p>
      </w:tc>
      <w:tc>
        <w:tcPr>
          <w:tcW w:w="3708" w:type="dxa"/>
        </w:tcPr>
        <w:p w14:paraId="60693764" w14:textId="77777777" w:rsidR="00A439A5" w:rsidRPr="00937FFC" w:rsidRDefault="00A439A5" w:rsidP="00796D5F">
          <w:pPr>
            <w:jc w:val="right"/>
            <w:rPr>
              <w:sz w:val="20"/>
              <w:szCs w:val="18"/>
            </w:rPr>
          </w:pPr>
          <w:r w:rsidRPr="00937FFC">
            <w:rPr>
              <w:noProof/>
              <w:sz w:val="20"/>
            </w:rPr>
            <w:drawing>
              <wp:inline distT="0" distB="0" distL="0" distR="0" wp14:anchorId="1EEF0365" wp14:editId="5261F376">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7F8FCBC3" w14:textId="77777777" w:rsidR="00A439A5" w:rsidRDefault="00A43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4768" w14:textId="77777777" w:rsidR="00CE226E" w:rsidRDefault="00CE226E" w:rsidP="004062C7">
      <w:r>
        <w:separator/>
      </w:r>
    </w:p>
  </w:footnote>
  <w:footnote w:type="continuationSeparator" w:id="0">
    <w:p w14:paraId="0E7512EA" w14:textId="77777777" w:rsidR="00CE226E" w:rsidRDefault="00CE226E"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370F" w14:textId="038BEA11" w:rsidR="00A439A5" w:rsidRDefault="00A439A5" w:rsidP="00192015">
    <w:pPr>
      <w:pStyle w:val="AOE-Header"/>
    </w:pPr>
    <w:r>
      <w:drawing>
        <wp:inline distT="0" distB="0" distL="0" distR="0" wp14:anchorId="4FFAE71F" wp14:editId="67817C62">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14:paraId="04F0E08A" w14:textId="6D8D998F" w:rsidR="00A439A5" w:rsidRDefault="00A439A5" w:rsidP="00192015">
    <w:pPr>
      <w:pStyle w:val="AOE-Header"/>
    </w:pPr>
    <w:r>
      <w:rPr>
        <w:shd w:val="clear" w:color="auto" w:fill="FFFFFF"/>
      </w:rPr>
      <w:t>1 National Life Drive, Davis 5</w:t>
    </w:r>
    <w:r w:rsidRPr="00CC230C">
      <w:br/>
    </w:r>
    <w:r>
      <w:rPr>
        <w:shd w:val="clear" w:color="auto" w:fill="FFFFFF"/>
      </w:rPr>
      <w:t>Montpelier</w:t>
    </w:r>
    <w:r w:rsidRPr="00CC230C">
      <w:rPr>
        <w:shd w:val="clear" w:color="auto" w:fill="FFFFFF"/>
      </w:rPr>
      <w:t>, VT 056</w:t>
    </w:r>
    <w:r>
      <w:rPr>
        <w:shd w:val="clear" w:color="auto" w:fill="FFFFFF"/>
      </w:rPr>
      <w:t>02-2501</w:t>
    </w:r>
    <w:r w:rsidRPr="007963EC">
      <w:t xml:space="preserve"> (p) 802-</w:t>
    </w:r>
    <w:r>
      <w:t>828-1626</w:t>
    </w:r>
    <w:r w:rsidRPr="007963EC">
      <w:t xml:space="preserve"> | (f) 802-</w:t>
    </w:r>
    <w:r>
      <w:t>828-6433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71AD8"/>
    <w:multiLevelType w:val="hybridMultilevel"/>
    <w:tmpl w:val="9B60313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C2FE8"/>
    <w:multiLevelType w:val="hybridMultilevel"/>
    <w:tmpl w:val="1D301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4"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3"/>
  </w:num>
  <w:num w:numId="2">
    <w:abstractNumId w:val="13"/>
  </w:num>
  <w:num w:numId="3">
    <w:abstractNumId w:val="21"/>
  </w:num>
  <w:num w:numId="4">
    <w:abstractNumId w:val="18"/>
  </w:num>
  <w:num w:numId="5">
    <w:abstractNumId w:val="19"/>
  </w:num>
  <w:num w:numId="6">
    <w:abstractNumId w:val="5"/>
  </w:num>
  <w:num w:numId="7">
    <w:abstractNumId w:val="0"/>
  </w:num>
  <w:num w:numId="8">
    <w:abstractNumId w:val="14"/>
  </w:num>
  <w:num w:numId="9">
    <w:abstractNumId w:val="17"/>
  </w:num>
  <w:num w:numId="10">
    <w:abstractNumId w:val="24"/>
  </w:num>
  <w:num w:numId="11">
    <w:abstractNumId w:val="15"/>
  </w:num>
  <w:num w:numId="12">
    <w:abstractNumId w:val="8"/>
  </w:num>
  <w:num w:numId="13">
    <w:abstractNumId w:val="26"/>
  </w:num>
  <w:num w:numId="14">
    <w:abstractNumId w:val="9"/>
  </w:num>
  <w:num w:numId="15">
    <w:abstractNumId w:val="25"/>
  </w:num>
  <w:num w:numId="16">
    <w:abstractNumId w:val="4"/>
  </w:num>
  <w:num w:numId="17">
    <w:abstractNumId w:val="7"/>
  </w:num>
  <w:num w:numId="18">
    <w:abstractNumId w:val="16"/>
  </w:num>
  <w:num w:numId="19">
    <w:abstractNumId w:val="20"/>
  </w:num>
  <w:num w:numId="20">
    <w:abstractNumId w:val="11"/>
  </w:num>
  <w:num w:numId="21">
    <w:abstractNumId w:val="12"/>
  </w:num>
  <w:num w:numId="22">
    <w:abstractNumId w:val="10"/>
  </w:num>
  <w:num w:numId="23">
    <w:abstractNumId w:val="1"/>
  </w:num>
  <w:num w:numId="24">
    <w:abstractNumId w:val="22"/>
  </w:num>
  <w:num w:numId="25">
    <w:abstractNumId w:val="1"/>
  </w:num>
  <w:num w:numId="26">
    <w:abstractNumId w:val="2"/>
  </w:num>
  <w:num w:numId="27">
    <w:abstractNumId w:val="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510748"/>
    <w:rsid w:val="000242C0"/>
    <w:rsid w:val="000321FC"/>
    <w:rsid w:val="00046AD4"/>
    <w:rsid w:val="00062DFA"/>
    <w:rsid w:val="000F3A23"/>
    <w:rsid w:val="000F6CEC"/>
    <w:rsid w:val="000F7F54"/>
    <w:rsid w:val="00102EA8"/>
    <w:rsid w:val="00140864"/>
    <w:rsid w:val="00161F11"/>
    <w:rsid w:val="001645D6"/>
    <w:rsid w:val="0017612B"/>
    <w:rsid w:val="00192015"/>
    <w:rsid w:val="001C1F88"/>
    <w:rsid w:val="001D07C0"/>
    <w:rsid w:val="001E67FA"/>
    <w:rsid w:val="001E7FBE"/>
    <w:rsid w:val="001F22D0"/>
    <w:rsid w:val="00217F09"/>
    <w:rsid w:val="00221659"/>
    <w:rsid w:val="002237E0"/>
    <w:rsid w:val="00241BBA"/>
    <w:rsid w:val="0024786D"/>
    <w:rsid w:val="00256309"/>
    <w:rsid w:val="002A0C9D"/>
    <w:rsid w:val="002D6A73"/>
    <w:rsid w:val="002E0106"/>
    <w:rsid w:val="002E3710"/>
    <w:rsid w:val="002E7E11"/>
    <w:rsid w:val="002F7E75"/>
    <w:rsid w:val="00314055"/>
    <w:rsid w:val="00326074"/>
    <w:rsid w:val="003274F5"/>
    <w:rsid w:val="003275FD"/>
    <w:rsid w:val="00334D48"/>
    <w:rsid w:val="00340C04"/>
    <w:rsid w:val="00373B17"/>
    <w:rsid w:val="003838D1"/>
    <w:rsid w:val="003B7F81"/>
    <w:rsid w:val="003D0155"/>
    <w:rsid w:val="003D090F"/>
    <w:rsid w:val="003F4CD3"/>
    <w:rsid w:val="00400F50"/>
    <w:rsid w:val="004062C7"/>
    <w:rsid w:val="00442899"/>
    <w:rsid w:val="00444A7A"/>
    <w:rsid w:val="00490247"/>
    <w:rsid w:val="004A4894"/>
    <w:rsid w:val="004A7312"/>
    <w:rsid w:val="004A7AD0"/>
    <w:rsid w:val="004B63C3"/>
    <w:rsid w:val="004B7F41"/>
    <w:rsid w:val="004D74DA"/>
    <w:rsid w:val="00500232"/>
    <w:rsid w:val="00510748"/>
    <w:rsid w:val="005464E9"/>
    <w:rsid w:val="0055234F"/>
    <w:rsid w:val="0056727F"/>
    <w:rsid w:val="00573E40"/>
    <w:rsid w:val="00575711"/>
    <w:rsid w:val="00591603"/>
    <w:rsid w:val="005A2F07"/>
    <w:rsid w:val="005D1A81"/>
    <w:rsid w:val="005D7389"/>
    <w:rsid w:val="005D7ABB"/>
    <w:rsid w:val="006062D9"/>
    <w:rsid w:val="00626212"/>
    <w:rsid w:val="006267BF"/>
    <w:rsid w:val="00630032"/>
    <w:rsid w:val="0063049A"/>
    <w:rsid w:val="00651E8D"/>
    <w:rsid w:val="006703F6"/>
    <w:rsid w:val="006C29AA"/>
    <w:rsid w:val="006D108C"/>
    <w:rsid w:val="006F698F"/>
    <w:rsid w:val="00713E2B"/>
    <w:rsid w:val="00714BA2"/>
    <w:rsid w:val="00721DF9"/>
    <w:rsid w:val="00722BEA"/>
    <w:rsid w:val="00734368"/>
    <w:rsid w:val="00746838"/>
    <w:rsid w:val="007963EC"/>
    <w:rsid w:val="00796D5F"/>
    <w:rsid w:val="007D17B1"/>
    <w:rsid w:val="007D5E67"/>
    <w:rsid w:val="007E3BD6"/>
    <w:rsid w:val="00814485"/>
    <w:rsid w:val="0082162E"/>
    <w:rsid w:val="00834ADD"/>
    <w:rsid w:val="00865A62"/>
    <w:rsid w:val="00871424"/>
    <w:rsid w:val="00871F69"/>
    <w:rsid w:val="0087647A"/>
    <w:rsid w:val="008C332D"/>
    <w:rsid w:val="008F4429"/>
    <w:rsid w:val="008F6F90"/>
    <w:rsid w:val="0092656D"/>
    <w:rsid w:val="00931021"/>
    <w:rsid w:val="00937F53"/>
    <w:rsid w:val="00937FFC"/>
    <w:rsid w:val="0094350D"/>
    <w:rsid w:val="00961A6D"/>
    <w:rsid w:val="009A01F1"/>
    <w:rsid w:val="009B55B5"/>
    <w:rsid w:val="009C410C"/>
    <w:rsid w:val="009D24B2"/>
    <w:rsid w:val="009D4528"/>
    <w:rsid w:val="00A02889"/>
    <w:rsid w:val="00A1547A"/>
    <w:rsid w:val="00A24AEB"/>
    <w:rsid w:val="00A439A5"/>
    <w:rsid w:val="00A87A47"/>
    <w:rsid w:val="00A92164"/>
    <w:rsid w:val="00A94F23"/>
    <w:rsid w:val="00AA11D0"/>
    <w:rsid w:val="00AD4B66"/>
    <w:rsid w:val="00AF33BA"/>
    <w:rsid w:val="00AF602B"/>
    <w:rsid w:val="00B04C63"/>
    <w:rsid w:val="00B25D38"/>
    <w:rsid w:val="00B25DEC"/>
    <w:rsid w:val="00B3462D"/>
    <w:rsid w:val="00B6001B"/>
    <w:rsid w:val="00BA0C57"/>
    <w:rsid w:val="00BD7ABE"/>
    <w:rsid w:val="00BE43B0"/>
    <w:rsid w:val="00C02916"/>
    <w:rsid w:val="00C712A7"/>
    <w:rsid w:val="00CB29BB"/>
    <w:rsid w:val="00CC052E"/>
    <w:rsid w:val="00CC230C"/>
    <w:rsid w:val="00CC6FC6"/>
    <w:rsid w:val="00CE226E"/>
    <w:rsid w:val="00D04EC2"/>
    <w:rsid w:val="00D064CA"/>
    <w:rsid w:val="00D22EA0"/>
    <w:rsid w:val="00D41020"/>
    <w:rsid w:val="00D65661"/>
    <w:rsid w:val="00DC38FE"/>
    <w:rsid w:val="00DE7FA2"/>
    <w:rsid w:val="00E2171D"/>
    <w:rsid w:val="00E2301A"/>
    <w:rsid w:val="00E51697"/>
    <w:rsid w:val="00E51754"/>
    <w:rsid w:val="00E606BA"/>
    <w:rsid w:val="00E773E9"/>
    <w:rsid w:val="00ED3A89"/>
    <w:rsid w:val="00F52F54"/>
    <w:rsid w:val="00F65CB1"/>
    <w:rsid w:val="00F661E5"/>
    <w:rsid w:val="00F76AD8"/>
    <w:rsid w:val="00F76BC0"/>
    <w:rsid w:val="00F90A87"/>
    <w:rsid w:val="00F96309"/>
    <w:rsid w:val="00FA084B"/>
    <w:rsid w:val="00FA0B2C"/>
    <w:rsid w:val="00FA235A"/>
    <w:rsid w:val="00FA33E0"/>
    <w:rsid w:val="00FD7D4F"/>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004173"/>
  <w15:docId w15:val="{E2D01F67-EEDE-4A38-8E96-25FA0DDD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paragraph" w:styleId="BodyText">
    <w:name w:val="Body Text"/>
    <w:basedOn w:val="Normal"/>
    <w:link w:val="BodyTextChar"/>
    <w:uiPriority w:val="99"/>
    <w:unhideWhenUsed/>
    <w:rsid w:val="00510748"/>
    <w:rPr>
      <w:rFonts w:ascii="Times New Roman" w:eastAsiaTheme="minorHAnsi" w:hAnsi="Times New Roman" w:cs="Times New Roman"/>
      <w:bCs w:val="0"/>
      <w:sz w:val="24"/>
      <w:szCs w:val="24"/>
    </w:rPr>
  </w:style>
  <w:style w:type="character" w:customStyle="1" w:styleId="BodyTextChar">
    <w:name w:val="Body Text Char"/>
    <w:basedOn w:val="DefaultParagraphFont"/>
    <w:link w:val="BodyText"/>
    <w:uiPriority w:val="99"/>
    <w:rsid w:val="005107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4" ma:contentTypeDescription="Create a new document." ma:contentTypeScope="" ma:versionID="0e7cf9a6697d6acb8ba768802a90683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9320845655f4d151e056e64593ca40c6"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67BBA-753E-4DD7-8E5E-62FE16600CCE}">
  <ds:schemaRefs>
    <ds:schemaRef ds:uri="http://schemas.microsoft.com/sharepoint/v3/contenttype/forms"/>
  </ds:schemaRefs>
</ds:datastoreItem>
</file>

<file path=customXml/itemProps2.xml><?xml version="1.0" encoding="utf-8"?>
<ds:datastoreItem xmlns:ds="http://schemas.openxmlformats.org/officeDocument/2006/customXml" ds:itemID="{0ECBB2CA-8865-4EA4-BF7A-977719162A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12A3A9-5F7D-4EE9-B25A-E7015BFEB753}">
  <ds:schemaRefs>
    <ds:schemaRef ds:uri="http://schemas.openxmlformats.org/officeDocument/2006/bibliography"/>
  </ds:schemaRefs>
</ds:datastoreItem>
</file>

<file path=customXml/itemProps4.xml><?xml version="1.0" encoding="utf-8"?>
<ds:datastoreItem xmlns:ds="http://schemas.openxmlformats.org/officeDocument/2006/customXml" ds:itemID="{58038CC4-8663-463D-AD31-97CDA0B60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Bidder Responsibility and Responsiveness </vt:lpstr>
    </vt:vector>
  </TitlesOfParts>
  <Company>Vermont Agency of Education</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 Responsibility and Responsiveness </dc:title>
  <dc:creator>Vermont Agency of Education</dc:creator>
  <cp:keywords/>
  <cp:lastModifiedBy>Adams, Ailynne</cp:lastModifiedBy>
  <cp:revision>15</cp:revision>
  <cp:lastPrinted>2019-04-30T01:54:00Z</cp:lastPrinted>
  <dcterms:created xsi:type="dcterms:W3CDTF">2020-03-04T13:02:00Z</dcterms:created>
  <dcterms:modified xsi:type="dcterms:W3CDTF">2021-11-10T02:12:00Z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