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5E6E" w14:textId="77777777" w:rsidR="00117A3A" w:rsidRPr="00A6595A" w:rsidRDefault="00117A3A" w:rsidP="00C11403">
      <w:pPr>
        <w:pStyle w:val="Title"/>
        <w:spacing w:before="120" w:after="120" w:line="240" w:lineRule="auto"/>
      </w:pPr>
      <w:r>
        <w:t>Local Comprehensive Assessment System Quality Criteria Single Point Rubric</w:t>
      </w:r>
    </w:p>
    <w:p w14:paraId="18E699C6" w14:textId="77777777" w:rsidR="00117A3A" w:rsidRDefault="00117A3A" w:rsidP="00117A3A">
      <w:pPr>
        <w:widowControl w:val="0"/>
        <w:spacing w:after="240"/>
        <w:rPr>
          <w:rFonts w:eastAsia="Palatino Linotype" w:cs="Palatino Linotype"/>
        </w:rPr>
      </w:pPr>
      <w:r w:rsidRPr="008D6EF6">
        <w:rPr>
          <w:rFonts w:eastAsia="Palatino Linotype" w:cs="Palatino Linotype"/>
        </w:rPr>
        <w:t>The Quality Criteria Single Point Rubric can be used as a self-assessment to identify areas of strength as well as those that require additional work.</w:t>
      </w:r>
      <w:r>
        <w:rPr>
          <w:rFonts w:eastAsia="Palatino Linotype" w:cs="Palatino Linotype"/>
        </w:rPr>
        <w:t xml:space="preserve"> </w:t>
      </w:r>
      <w:r w:rsidRPr="008D6EF6">
        <w:rPr>
          <w:rFonts w:eastAsia="Palatino Linotype" w:cs="Palatino Linotype"/>
        </w:rPr>
        <w:t>Assessment definitions that can be used as a reference are included after the rubric.</w:t>
      </w:r>
    </w:p>
    <w:tbl>
      <w:tblPr>
        <w:tblW w:w="14400"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500"/>
        <w:gridCol w:w="5220"/>
        <w:gridCol w:w="4680"/>
      </w:tblGrid>
      <w:tr w:rsidR="00117A3A" w:rsidRPr="008D6EF6" w14:paraId="041F899F" w14:textId="77777777" w:rsidTr="007C10A6">
        <w:trPr>
          <w:cantSplit/>
          <w:trHeight w:val="500"/>
          <w:tblHeader/>
        </w:trPr>
        <w:tc>
          <w:tcPr>
            <w:tcW w:w="4500" w:type="dxa"/>
            <w:shd w:val="clear" w:color="auto" w:fill="auto"/>
            <w:tcMar>
              <w:top w:w="100" w:type="dxa"/>
              <w:left w:w="100" w:type="dxa"/>
              <w:bottom w:w="100" w:type="dxa"/>
              <w:right w:w="100" w:type="dxa"/>
            </w:tcMar>
            <w:vAlign w:val="center"/>
          </w:tcPr>
          <w:p w14:paraId="392D6DF8" w14:textId="77777777" w:rsidR="00117A3A" w:rsidRPr="00117A3A" w:rsidRDefault="00117A3A" w:rsidP="00B72CC9">
            <w:pPr>
              <w:widowControl w:val="0"/>
              <w:jc w:val="center"/>
              <w:rPr>
                <w:rFonts w:ascii="Franklin Gothic Demi" w:eastAsia="Palatino Linotype" w:hAnsi="Franklin Gothic Demi" w:cs="Palatino Linotype"/>
                <w:sz w:val="24"/>
                <w:szCs w:val="24"/>
              </w:rPr>
            </w:pPr>
            <w:r w:rsidRPr="00117A3A">
              <w:rPr>
                <w:rFonts w:ascii="Franklin Gothic Demi" w:eastAsia="Palatino Linotype" w:hAnsi="Franklin Gothic Demi" w:cs="Palatino Linotype"/>
                <w:sz w:val="24"/>
                <w:szCs w:val="24"/>
              </w:rPr>
              <w:t>What do we already have in place?</w:t>
            </w:r>
          </w:p>
          <w:p w14:paraId="1EE0899B" w14:textId="77777777" w:rsidR="00117A3A" w:rsidRPr="00117A3A" w:rsidRDefault="00117A3A" w:rsidP="00B72CC9">
            <w:pPr>
              <w:widowControl w:val="0"/>
              <w:jc w:val="center"/>
              <w:rPr>
                <w:rFonts w:ascii="Franklin Gothic Demi" w:eastAsia="Palatino Linotype" w:hAnsi="Franklin Gothic Demi" w:cs="Palatino Linotype"/>
                <w:sz w:val="24"/>
                <w:szCs w:val="24"/>
              </w:rPr>
            </w:pPr>
            <w:r w:rsidRPr="00117A3A">
              <w:rPr>
                <w:rFonts w:ascii="Franklin Gothic Demi" w:eastAsia="Palatino Linotype" w:hAnsi="Franklin Gothic Demi" w:cs="Palatino Linotype"/>
                <w:sz w:val="24"/>
                <w:szCs w:val="24"/>
              </w:rPr>
              <w:t>What is our evidence?</w:t>
            </w:r>
          </w:p>
        </w:tc>
        <w:tc>
          <w:tcPr>
            <w:tcW w:w="5220" w:type="dxa"/>
            <w:shd w:val="clear" w:color="auto" w:fill="auto"/>
            <w:tcMar>
              <w:top w:w="100" w:type="dxa"/>
              <w:left w:w="100" w:type="dxa"/>
              <w:bottom w:w="100" w:type="dxa"/>
              <w:right w:w="100" w:type="dxa"/>
            </w:tcMar>
            <w:vAlign w:val="center"/>
          </w:tcPr>
          <w:p w14:paraId="270BAFDD" w14:textId="77777777" w:rsidR="00117A3A" w:rsidRPr="00117A3A" w:rsidRDefault="00117A3A" w:rsidP="00B72CC9">
            <w:pPr>
              <w:widowControl w:val="0"/>
              <w:pBdr>
                <w:top w:val="nil"/>
                <w:left w:val="nil"/>
                <w:bottom w:val="nil"/>
                <w:right w:val="nil"/>
                <w:between w:val="nil"/>
              </w:pBdr>
              <w:jc w:val="center"/>
              <w:rPr>
                <w:rFonts w:ascii="Franklin Gothic Demi" w:eastAsia="Palatino Linotype" w:hAnsi="Franklin Gothic Demi" w:cs="Palatino Linotype"/>
                <w:sz w:val="24"/>
                <w:szCs w:val="24"/>
              </w:rPr>
            </w:pPr>
            <w:r w:rsidRPr="00117A3A">
              <w:rPr>
                <w:rFonts w:ascii="Franklin Gothic Demi" w:eastAsia="Palatino Linotype" w:hAnsi="Franklin Gothic Demi" w:cs="Palatino Linotype"/>
                <w:sz w:val="24"/>
                <w:szCs w:val="24"/>
              </w:rPr>
              <w:t>Quality Criteria</w:t>
            </w:r>
          </w:p>
        </w:tc>
        <w:tc>
          <w:tcPr>
            <w:tcW w:w="4680" w:type="dxa"/>
            <w:shd w:val="clear" w:color="auto" w:fill="auto"/>
            <w:tcMar>
              <w:top w:w="100" w:type="dxa"/>
              <w:left w:w="100" w:type="dxa"/>
              <w:bottom w:w="100" w:type="dxa"/>
              <w:right w:w="100" w:type="dxa"/>
            </w:tcMar>
            <w:vAlign w:val="center"/>
          </w:tcPr>
          <w:p w14:paraId="06667FBD" w14:textId="77777777" w:rsidR="00117A3A" w:rsidRPr="00117A3A" w:rsidRDefault="00117A3A" w:rsidP="00B72CC9">
            <w:pPr>
              <w:widowControl w:val="0"/>
              <w:jc w:val="center"/>
              <w:rPr>
                <w:rFonts w:ascii="Franklin Gothic Demi" w:eastAsia="Palatino Linotype" w:hAnsi="Franklin Gothic Demi" w:cs="Palatino Linotype"/>
                <w:sz w:val="24"/>
                <w:szCs w:val="24"/>
              </w:rPr>
            </w:pPr>
            <w:r w:rsidRPr="00117A3A">
              <w:rPr>
                <w:rFonts w:ascii="Franklin Gothic Demi" w:eastAsia="Palatino Linotype" w:hAnsi="Franklin Gothic Demi" w:cs="Palatino Linotype"/>
                <w:sz w:val="24"/>
                <w:szCs w:val="24"/>
              </w:rPr>
              <w:t>What will we focus on in the coming year?</w:t>
            </w:r>
          </w:p>
          <w:p w14:paraId="253F2FF5" w14:textId="77777777" w:rsidR="00117A3A" w:rsidRPr="00117A3A" w:rsidRDefault="00117A3A" w:rsidP="00B72CC9">
            <w:pPr>
              <w:widowControl w:val="0"/>
              <w:jc w:val="center"/>
              <w:rPr>
                <w:rFonts w:ascii="Franklin Gothic Demi" w:eastAsia="Palatino Linotype" w:hAnsi="Franklin Gothic Demi" w:cs="Palatino Linotype"/>
                <w:sz w:val="24"/>
                <w:szCs w:val="24"/>
              </w:rPr>
            </w:pPr>
            <w:r w:rsidRPr="00117A3A">
              <w:rPr>
                <w:rFonts w:ascii="Franklin Gothic Demi" w:eastAsia="Palatino Linotype" w:hAnsi="Franklin Gothic Demi" w:cs="Palatino Linotype"/>
                <w:sz w:val="24"/>
                <w:szCs w:val="24"/>
              </w:rPr>
              <w:t>What evidence will we collect?</w:t>
            </w:r>
          </w:p>
        </w:tc>
      </w:tr>
      <w:tr w:rsidR="00117A3A" w14:paraId="2E2FD648" w14:textId="77777777" w:rsidTr="007C10A6">
        <w:trPr>
          <w:cantSplit/>
        </w:trPr>
        <w:tc>
          <w:tcPr>
            <w:tcW w:w="4500" w:type="dxa"/>
            <w:shd w:val="clear" w:color="auto" w:fill="auto"/>
            <w:tcMar>
              <w:top w:w="100" w:type="dxa"/>
              <w:left w:w="100" w:type="dxa"/>
              <w:bottom w:w="100" w:type="dxa"/>
              <w:right w:w="100" w:type="dxa"/>
            </w:tcMar>
          </w:tcPr>
          <w:p w14:paraId="567C8584" w14:textId="77777777" w:rsidR="007C10A6" w:rsidRPr="007C10A6" w:rsidRDefault="007C10A6" w:rsidP="007C10A6">
            <w:pPr>
              <w:rPr>
                <w:rFonts w:eastAsia="Palatino Linotype" w:cs="Palatino Linotype"/>
              </w:rPr>
            </w:pPr>
          </w:p>
          <w:p w14:paraId="5DA4F5A4" w14:textId="77777777" w:rsidR="007C10A6" w:rsidRPr="007C10A6" w:rsidRDefault="007C10A6" w:rsidP="007C10A6">
            <w:pPr>
              <w:rPr>
                <w:rFonts w:eastAsia="Palatino Linotype" w:cs="Palatino Linotype"/>
              </w:rPr>
            </w:pPr>
          </w:p>
          <w:p w14:paraId="24E93244" w14:textId="77777777" w:rsidR="007C10A6" w:rsidRPr="007C10A6" w:rsidRDefault="007C10A6" w:rsidP="007C10A6">
            <w:pPr>
              <w:rPr>
                <w:rFonts w:eastAsia="Palatino Linotype" w:cs="Palatino Linotype"/>
              </w:rPr>
            </w:pPr>
          </w:p>
          <w:p w14:paraId="4E160BAA" w14:textId="77777777" w:rsidR="007C10A6" w:rsidRPr="007C10A6" w:rsidRDefault="007C10A6" w:rsidP="007C10A6">
            <w:pPr>
              <w:rPr>
                <w:rFonts w:eastAsia="Palatino Linotype" w:cs="Palatino Linotype"/>
              </w:rPr>
            </w:pPr>
          </w:p>
          <w:p w14:paraId="71B8B5CC" w14:textId="77777777" w:rsidR="007C10A6" w:rsidRPr="007C10A6" w:rsidRDefault="007C10A6" w:rsidP="007C10A6">
            <w:pPr>
              <w:rPr>
                <w:rFonts w:eastAsia="Palatino Linotype" w:cs="Palatino Linotype"/>
              </w:rPr>
            </w:pPr>
          </w:p>
          <w:p w14:paraId="20D8FCEC" w14:textId="77777777" w:rsidR="007C10A6" w:rsidRPr="007C10A6" w:rsidRDefault="007C10A6" w:rsidP="007C10A6">
            <w:pPr>
              <w:rPr>
                <w:rFonts w:eastAsia="Palatino Linotype" w:cs="Palatino Linotype"/>
              </w:rPr>
            </w:pPr>
          </w:p>
          <w:p w14:paraId="21916EBA" w14:textId="77777777" w:rsidR="007C10A6" w:rsidRPr="007C10A6" w:rsidRDefault="007C10A6" w:rsidP="007C10A6">
            <w:pPr>
              <w:rPr>
                <w:rFonts w:eastAsia="Palatino Linotype" w:cs="Palatino Linotype"/>
              </w:rPr>
            </w:pPr>
          </w:p>
          <w:p w14:paraId="4C95A56A" w14:textId="77777777" w:rsidR="007C10A6" w:rsidRPr="007C10A6" w:rsidRDefault="007C10A6" w:rsidP="007C10A6">
            <w:pPr>
              <w:rPr>
                <w:rFonts w:eastAsia="Palatino Linotype" w:cs="Palatino Linotype"/>
              </w:rPr>
            </w:pPr>
          </w:p>
          <w:p w14:paraId="71FE0744" w14:textId="77777777" w:rsidR="007C10A6" w:rsidRPr="007C10A6" w:rsidRDefault="007C10A6" w:rsidP="007C10A6">
            <w:pPr>
              <w:rPr>
                <w:rFonts w:eastAsia="Palatino Linotype" w:cs="Palatino Linotype"/>
              </w:rPr>
            </w:pPr>
          </w:p>
          <w:p w14:paraId="2085E3BD" w14:textId="23F7BC42" w:rsidR="007C10A6" w:rsidRPr="007C10A6" w:rsidRDefault="007C10A6" w:rsidP="007C10A6">
            <w:pPr>
              <w:rPr>
                <w:rFonts w:eastAsia="Palatino Linotype" w:cs="Palatino Linotype"/>
              </w:rPr>
            </w:pPr>
          </w:p>
        </w:tc>
        <w:tc>
          <w:tcPr>
            <w:tcW w:w="5220" w:type="dxa"/>
            <w:shd w:val="clear" w:color="auto" w:fill="auto"/>
            <w:tcMar>
              <w:top w:w="100" w:type="dxa"/>
              <w:left w:w="100" w:type="dxa"/>
              <w:bottom w:w="100" w:type="dxa"/>
              <w:right w:w="100" w:type="dxa"/>
            </w:tcMar>
          </w:tcPr>
          <w:p w14:paraId="4B7E87DA" w14:textId="6AAB5C3D" w:rsidR="00117A3A" w:rsidRPr="0023653E" w:rsidRDefault="00117A3A" w:rsidP="00117A3A">
            <w:pPr>
              <w:spacing w:before="120" w:after="120"/>
              <w:contextualSpacing/>
              <w:rPr>
                <w:b/>
                <w:bCs w:val="0"/>
              </w:rPr>
            </w:pPr>
            <w:r w:rsidRPr="0023653E">
              <w:rPr>
                <w:b/>
              </w:rPr>
              <w:t xml:space="preserve">1. </w:t>
            </w:r>
            <w:r w:rsidRPr="0023653E">
              <w:rPr>
                <w:b/>
                <w:bCs w:val="0"/>
              </w:rPr>
              <w:t>Clear Vision for Teaching and Learning</w:t>
            </w:r>
          </w:p>
          <w:p w14:paraId="502E86E4" w14:textId="5BD71FCC" w:rsidR="00117A3A" w:rsidRPr="0023653E" w:rsidRDefault="00117A3A" w:rsidP="00117A3A">
            <w:pPr>
              <w:spacing w:before="120" w:after="120"/>
              <w:contextualSpacing/>
            </w:pPr>
            <w:r w:rsidRPr="0023653E">
              <w:t>Evidence of a Clear Vision for Teaching and Learning is evident when</w:t>
            </w:r>
            <w:r w:rsidR="00C11403">
              <w:t>:</w:t>
            </w:r>
          </w:p>
          <w:p w14:paraId="23F9CAB9" w14:textId="77777777" w:rsidR="00117A3A" w:rsidRPr="0023653E" w:rsidRDefault="00117A3A" w:rsidP="00117A3A">
            <w:pPr>
              <w:pStyle w:val="ListParagraph"/>
              <w:numPr>
                <w:ilvl w:val="0"/>
                <w:numId w:val="32"/>
              </w:numPr>
              <w:spacing w:before="120" w:after="120" w:line="240" w:lineRule="auto"/>
              <w:ind w:left="586"/>
              <w:rPr>
                <w:rFonts w:ascii="Palatino Linotype" w:hAnsi="Palatino Linotype"/>
              </w:rPr>
            </w:pPr>
            <w:r w:rsidRPr="0023653E">
              <w:rPr>
                <w:rFonts w:ascii="Palatino Linotype" w:hAnsi="Palatino Linotype"/>
              </w:rPr>
              <w:t xml:space="preserve">A Portrait of a Graduate is used to clarify what students should know, understand, and be able to do upon graduation; </w:t>
            </w:r>
          </w:p>
          <w:p w14:paraId="40E2D248" w14:textId="77777777" w:rsidR="00117A3A" w:rsidRPr="0023653E" w:rsidRDefault="00117A3A" w:rsidP="00117A3A">
            <w:pPr>
              <w:pStyle w:val="ListParagraph"/>
              <w:numPr>
                <w:ilvl w:val="0"/>
                <w:numId w:val="32"/>
              </w:numPr>
              <w:spacing w:before="120" w:after="120" w:line="240" w:lineRule="auto"/>
              <w:ind w:left="586"/>
              <w:rPr>
                <w:rFonts w:ascii="Palatino Linotype" w:hAnsi="Palatino Linotype"/>
              </w:rPr>
            </w:pPr>
            <w:r w:rsidRPr="0023653E">
              <w:rPr>
                <w:rFonts w:ascii="Palatino Linotype" w:eastAsia="Palatino Linotype" w:hAnsi="Palatino Linotype" w:cs="Palatino Linotype"/>
              </w:rPr>
              <w:t>A Theory of Action is in place that aligns to the Continuous Improvement Plan and clarifies how assessments are related to intended student outcomes;</w:t>
            </w:r>
          </w:p>
          <w:p w14:paraId="58A9DB0A" w14:textId="6ACD311E" w:rsidR="00117A3A" w:rsidRPr="0023653E" w:rsidRDefault="00117A3A" w:rsidP="00117A3A">
            <w:pPr>
              <w:pStyle w:val="ListParagraph"/>
              <w:widowControl w:val="0"/>
              <w:numPr>
                <w:ilvl w:val="0"/>
                <w:numId w:val="32"/>
              </w:numPr>
              <w:pBdr>
                <w:top w:val="nil"/>
                <w:left w:val="nil"/>
                <w:bottom w:val="nil"/>
                <w:right w:val="nil"/>
                <w:between w:val="nil"/>
              </w:pBdr>
              <w:spacing w:before="120" w:after="120" w:line="240" w:lineRule="auto"/>
              <w:ind w:left="586"/>
              <w:rPr>
                <w:rFonts w:cstheme="minorBidi"/>
              </w:rPr>
            </w:pPr>
            <w:r w:rsidRPr="0023653E">
              <w:rPr>
                <w:rFonts w:ascii="Palatino Linotype" w:eastAsia="Palatino Linotype" w:hAnsi="Palatino Linotype" w:cs="Palatino Linotype"/>
              </w:rPr>
              <w:t>Assessments are clearly aligned to critical proficiencies</w:t>
            </w:r>
            <w:r w:rsidR="00CA29AF">
              <w:rPr>
                <w:rFonts w:ascii="Palatino Linotype" w:eastAsia="Palatino Linotype" w:hAnsi="Palatino Linotype" w:cs="Palatino Linotype"/>
              </w:rPr>
              <w:t xml:space="preserve"> and PBGRs</w:t>
            </w:r>
            <w:r w:rsidRPr="0023653E">
              <w:rPr>
                <w:rFonts w:ascii="Palatino Linotype" w:eastAsia="Palatino Linotype" w:hAnsi="Palatino Linotype" w:cs="Palatino Linotype"/>
              </w:rPr>
              <w:t xml:space="preserve"> for</w:t>
            </w:r>
            <w:r w:rsidRPr="0023653E">
              <w:rPr>
                <w:rFonts w:ascii="Palatino Linotype" w:eastAsia="Palatino Linotype" w:hAnsi="Palatino Linotype" w:cs="Palatino Linotype"/>
                <w:bCs w:val="0"/>
              </w:rPr>
              <w:t xml:space="preserve"> all</w:t>
            </w:r>
            <w:r w:rsidRPr="0023653E">
              <w:rPr>
                <w:rFonts w:ascii="Palatino Linotype" w:eastAsia="Palatino Linotype" w:hAnsi="Palatino Linotype" w:cs="Palatino Linotype"/>
                <w:b/>
              </w:rPr>
              <w:t xml:space="preserve"> </w:t>
            </w:r>
            <w:r w:rsidRPr="0023653E">
              <w:rPr>
                <w:rFonts w:ascii="Palatino Linotype" w:eastAsia="Palatino Linotype" w:hAnsi="Palatino Linotype" w:cs="Palatino Linotype"/>
              </w:rPr>
              <w:t>content areas and transferable skills; and</w:t>
            </w:r>
          </w:p>
          <w:p w14:paraId="0744E208" w14:textId="023A31BD" w:rsidR="00B460FE" w:rsidRPr="00C11403" w:rsidRDefault="00117A3A" w:rsidP="00C11403">
            <w:pPr>
              <w:pStyle w:val="ListParagraph"/>
              <w:numPr>
                <w:ilvl w:val="0"/>
                <w:numId w:val="32"/>
              </w:numPr>
              <w:spacing w:before="120" w:after="1560" w:line="240" w:lineRule="auto"/>
              <w:ind w:left="590"/>
              <w:contextualSpacing w:val="0"/>
              <w:rPr>
                <w:rFonts w:ascii="Palatino Linotype" w:hAnsi="Palatino Linotype"/>
              </w:rPr>
            </w:pPr>
            <w:r w:rsidRPr="0023653E">
              <w:rPr>
                <w:rFonts w:ascii="Palatino Linotype" w:hAnsi="Palatino Linotype"/>
              </w:rPr>
              <w:t>Tools (such as Personalized Learning Plans) are used as a “roadmap” to support students in developing the skills to be college and career ready</w:t>
            </w:r>
            <w:r>
              <w:rPr>
                <w:rFonts w:ascii="Palatino Linotype" w:hAnsi="Palatino Linotype"/>
              </w:rPr>
              <w:t>.</w:t>
            </w:r>
          </w:p>
        </w:tc>
        <w:tc>
          <w:tcPr>
            <w:tcW w:w="4680" w:type="dxa"/>
            <w:shd w:val="clear" w:color="auto" w:fill="auto"/>
            <w:tcMar>
              <w:top w:w="100" w:type="dxa"/>
              <w:left w:w="100" w:type="dxa"/>
              <w:bottom w:w="100" w:type="dxa"/>
              <w:right w:w="100" w:type="dxa"/>
            </w:tcMar>
          </w:tcPr>
          <w:p w14:paraId="78A006BF" w14:textId="77777777" w:rsidR="00117A3A" w:rsidRPr="003C0669" w:rsidRDefault="00117A3A" w:rsidP="00117A3A">
            <w:pPr>
              <w:spacing w:before="120" w:after="120"/>
              <w:contextualSpacing/>
              <w:rPr>
                <w:rFonts w:eastAsia="Palatino Linotype" w:cs="Palatino Linotype"/>
              </w:rPr>
            </w:pPr>
          </w:p>
        </w:tc>
      </w:tr>
      <w:tr w:rsidR="00117A3A" w:rsidRPr="008D6EF6" w14:paraId="2E4C6DE1" w14:textId="77777777" w:rsidTr="007C10A6">
        <w:trPr>
          <w:cantSplit/>
        </w:trPr>
        <w:tc>
          <w:tcPr>
            <w:tcW w:w="4500" w:type="dxa"/>
            <w:shd w:val="clear" w:color="auto" w:fill="auto"/>
            <w:tcMar>
              <w:top w:w="100" w:type="dxa"/>
              <w:left w:w="100" w:type="dxa"/>
              <w:bottom w:w="100" w:type="dxa"/>
              <w:right w:w="100" w:type="dxa"/>
            </w:tcMar>
          </w:tcPr>
          <w:p w14:paraId="7C3C5C99" w14:textId="77777777" w:rsidR="00117A3A" w:rsidRPr="008D6EF6" w:rsidRDefault="00117A3A" w:rsidP="00117A3A">
            <w:pPr>
              <w:widowControl w:val="0"/>
              <w:pBdr>
                <w:top w:val="nil"/>
                <w:left w:val="nil"/>
                <w:bottom w:val="nil"/>
                <w:right w:val="nil"/>
                <w:between w:val="nil"/>
              </w:pBdr>
              <w:spacing w:before="120" w:after="120"/>
              <w:contextualSpacing/>
              <w:rPr>
                <w:rFonts w:eastAsia="Palatino Linotype" w:cs="Palatino Linotype"/>
              </w:rPr>
            </w:pPr>
          </w:p>
        </w:tc>
        <w:tc>
          <w:tcPr>
            <w:tcW w:w="5220" w:type="dxa"/>
            <w:shd w:val="clear" w:color="auto" w:fill="auto"/>
            <w:tcMar>
              <w:top w:w="100" w:type="dxa"/>
              <w:left w:w="100" w:type="dxa"/>
              <w:bottom w:w="100" w:type="dxa"/>
              <w:right w:w="100" w:type="dxa"/>
            </w:tcMar>
          </w:tcPr>
          <w:p w14:paraId="32B94E9F" w14:textId="1F82992A" w:rsidR="00117A3A" w:rsidRPr="00784315" w:rsidRDefault="00117A3A" w:rsidP="00117A3A">
            <w:pPr>
              <w:widowControl w:val="0"/>
              <w:spacing w:before="120" w:after="120"/>
              <w:contextualSpacing/>
              <w:rPr>
                <w:rFonts w:eastAsia="Palatino Linotype" w:cs="Palatino Linotype"/>
              </w:rPr>
            </w:pPr>
            <w:r w:rsidRPr="00784315">
              <w:rPr>
                <w:rFonts w:eastAsia="Palatino Linotype" w:cs="Palatino Linotype"/>
                <w:b/>
                <w:bCs w:val="0"/>
              </w:rPr>
              <w:t>2. Design for Rigor</w:t>
            </w:r>
          </w:p>
          <w:p w14:paraId="0A09F91D" w14:textId="77777777" w:rsidR="00117A3A" w:rsidRPr="00784315" w:rsidRDefault="00117A3A" w:rsidP="00117A3A">
            <w:pPr>
              <w:widowControl w:val="0"/>
              <w:spacing w:before="120" w:after="120"/>
              <w:contextualSpacing/>
              <w:rPr>
                <w:rFonts w:eastAsia="Palatino Linotype" w:cs="Palatino Linotype"/>
              </w:rPr>
            </w:pPr>
            <w:r w:rsidRPr="00784315">
              <w:rPr>
                <w:rFonts w:eastAsia="Palatino Linotype" w:cs="Palatino Linotype"/>
              </w:rPr>
              <w:t>Evidence of Designing for Rigor is evident when:</w:t>
            </w:r>
          </w:p>
          <w:p w14:paraId="3BA68EB9" w14:textId="5D155033" w:rsidR="00117A3A" w:rsidRPr="00784315" w:rsidRDefault="00117A3A" w:rsidP="00117A3A">
            <w:pPr>
              <w:pStyle w:val="ListParagraph"/>
              <w:widowControl w:val="0"/>
              <w:numPr>
                <w:ilvl w:val="0"/>
                <w:numId w:val="37"/>
              </w:numPr>
              <w:spacing w:before="120" w:after="120" w:line="240" w:lineRule="auto"/>
              <w:ind w:left="586"/>
              <w:rPr>
                <w:rFonts w:ascii="Palatino Linotype" w:eastAsia="Palatino Linotype" w:hAnsi="Palatino Linotype" w:cs="Palatino Linotype"/>
              </w:rPr>
            </w:pPr>
            <w:r w:rsidRPr="00784315">
              <w:rPr>
                <w:rFonts w:ascii="Palatino Linotype" w:eastAsia="Palatino Linotype" w:hAnsi="Palatino Linotype" w:cs="Palatino Linotype"/>
              </w:rPr>
              <w:t>All students are expected to reach for and</w:t>
            </w:r>
            <w:r w:rsidR="00C8230F">
              <w:rPr>
                <w:rFonts w:ascii="Palatino Linotype" w:eastAsia="Palatino Linotype" w:hAnsi="Palatino Linotype" w:cs="Palatino Linotype"/>
              </w:rPr>
              <w:t xml:space="preserve"> supported to</w:t>
            </w:r>
            <w:r w:rsidRPr="00784315">
              <w:rPr>
                <w:rFonts w:ascii="Palatino Linotype" w:eastAsia="Palatino Linotype" w:hAnsi="Palatino Linotype" w:cs="Palatino Linotype"/>
              </w:rPr>
              <w:t xml:space="preserve"> meet high expectations;</w:t>
            </w:r>
          </w:p>
          <w:p w14:paraId="7FBE2A17" w14:textId="77777777" w:rsidR="00117A3A" w:rsidRPr="00784315" w:rsidRDefault="00117A3A" w:rsidP="00117A3A">
            <w:pPr>
              <w:pStyle w:val="ListParagraph"/>
              <w:widowControl w:val="0"/>
              <w:numPr>
                <w:ilvl w:val="0"/>
                <w:numId w:val="37"/>
              </w:numPr>
              <w:spacing w:before="120" w:after="120" w:line="240" w:lineRule="auto"/>
              <w:ind w:left="586"/>
              <w:rPr>
                <w:rFonts w:ascii="Palatino Linotype" w:eastAsia="Palatino Linotype" w:hAnsi="Palatino Linotype" w:cs="Palatino Linotype"/>
              </w:rPr>
            </w:pPr>
            <w:r w:rsidRPr="00784315">
              <w:rPr>
                <w:rFonts w:ascii="Palatino Linotype" w:eastAsia="Palatino Linotype" w:hAnsi="Palatino Linotype" w:cs="Palatino Linotype"/>
              </w:rPr>
              <w:t>There is a clear relationship between proficiency-based graduation requirements, critical proficiencies, performance indicators, and learning targets;</w:t>
            </w:r>
          </w:p>
          <w:p w14:paraId="3D61C139" w14:textId="77777777" w:rsidR="00117A3A" w:rsidRPr="00784315" w:rsidRDefault="00117A3A" w:rsidP="00117A3A">
            <w:pPr>
              <w:pStyle w:val="ListParagraph"/>
              <w:widowControl w:val="0"/>
              <w:numPr>
                <w:ilvl w:val="0"/>
                <w:numId w:val="37"/>
              </w:numPr>
              <w:spacing w:before="120" w:after="120" w:line="240" w:lineRule="auto"/>
              <w:ind w:left="586"/>
              <w:rPr>
                <w:rFonts w:ascii="Palatino Linotype" w:eastAsia="Palatino Linotype" w:hAnsi="Palatino Linotype" w:cs="Palatino Linotype"/>
              </w:rPr>
            </w:pPr>
            <w:r w:rsidRPr="00784315">
              <w:rPr>
                <w:rFonts w:ascii="Palatino Linotype" w:eastAsia="Palatino Linotype" w:hAnsi="Palatino Linotype" w:cs="Palatino Linotype"/>
              </w:rPr>
              <w:t xml:space="preserve">Clear criteria for proficiency are available and used by students to meet expectations; </w:t>
            </w:r>
          </w:p>
          <w:p w14:paraId="6A3E6DC3" w14:textId="77777777" w:rsidR="00117A3A" w:rsidRPr="00784315" w:rsidRDefault="00117A3A" w:rsidP="00117A3A">
            <w:pPr>
              <w:pStyle w:val="ListParagraph"/>
              <w:widowControl w:val="0"/>
              <w:numPr>
                <w:ilvl w:val="0"/>
                <w:numId w:val="37"/>
              </w:numPr>
              <w:spacing w:before="120" w:after="120" w:line="240" w:lineRule="auto"/>
              <w:ind w:left="586"/>
              <w:rPr>
                <w:rFonts w:ascii="Palatino Linotype" w:eastAsia="Palatino Linotype" w:hAnsi="Palatino Linotype" w:cs="Palatino Linotype"/>
              </w:rPr>
            </w:pPr>
            <w:r w:rsidRPr="00784315">
              <w:rPr>
                <w:rFonts w:ascii="Palatino Linotype" w:eastAsia="Palatino Linotype" w:hAnsi="Palatino Linotype" w:cs="Palatino Linotype"/>
              </w:rPr>
              <w:t xml:space="preserve">Performance assessments, including student-designed assessments, </w:t>
            </w:r>
            <w:r w:rsidRPr="00784315">
              <w:rPr>
                <w:rFonts w:ascii="Palatino Linotype" w:hAnsi="Palatino Linotype"/>
              </w:rPr>
              <w:t>integrate content and transferable skills, require students to apply learning to new contexts, and elicit evidence of learning; and</w:t>
            </w:r>
          </w:p>
          <w:p w14:paraId="7805CBAC" w14:textId="77777777" w:rsidR="00117A3A" w:rsidRPr="00784315" w:rsidRDefault="00117A3A" w:rsidP="000218D6">
            <w:pPr>
              <w:pStyle w:val="ListParagraph"/>
              <w:widowControl w:val="0"/>
              <w:numPr>
                <w:ilvl w:val="0"/>
                <w:numId w:val="37"/>
              </w:numPr>
              <w:spacing w:before="120" w:after="3600" w:line="240" w:lineRule="auto"/>
              <w:ind w:left="590"/>
              <w:rPr>
                <w:rFonts w:ascii="Palatino Linotype" w:eastAsia="Palatino Linotype" w:hAnsi="Palatino Linotype" w:cs="Palatino Linotype"/>
              </w:rPr>
            </w:pPr>
            <w:r w:rsidRPr="00784315">
              <w:rPr>
                <w:rFonts w:ascii="Palatino Linotype" w:hAnsi="Palatino Linotype"/>
              </w:rPr>
              <w:t>Formative assessments are used to determine students’ strengths and areas that require additional instruction and support.</w:t>
            </w:r>
          </w:p>
        </w:tc>
        <w:tc>
          <w:tcPr>
            <w:tcW w:w="4680" w:type="dxa"/>
            <w:shd w:val="clear" w:color="auto" w:fill="auto"/>
            <w:tcMar>
              <w:top w:w="100" w:type="dxa"/>
              <w:left w:w="100" w:type="dxa"/>
              <w:bottom w:w="100" w:type="dxa"/>
              <w:right w:w="100" w:type="dxa"/>
            </w:tcMar>
          </w:tcPr>
          <w:p w14:paraId="11636CAA" w14:textId="77777777" w:rsidR="00117A3A" w:rsidRPr="008D6EF6" w:rsidRDefault="00117A3A" w:rsidP="00117A3A">
            <w:pPr>
              <w:widowControl w:val="0"/>
              <w:pBdr>
                <w:top w:val="nil"/>
                <w:left w:val="nil"/>
                <w:bottom w:val="nil"/>
                <w:right w:val="nil"/>
                <w:between w:val="nil"/>
              </w:pBdr>
              <w:spacing w:before="120" w:after="120"/>
              <w:contextualSpacing/>
              <w:rPr>
                <w:rFonts w:eastAsia="Palatino Linotype" w:cs="Palatino Linotype"/>
              </w:rPr>
            </w:pPr>
          </w:p>
        </w:tc>
      </w:tr>
      <w:tr w:rsidR="00117A3A" w:rsidRPr="008D6EF6" w14:paraId="3D42488A" w14:textId="77777777" w:rsidTr="007C10A6">
        <w:trPr>
          <w:cantSplit/>
        </w:trPr>
        <w:tc>
          <w:tcPr>
            <w:tcW w:w="4500" w:type="dxa"/>
            <w:shd w:val="clear" w:color="auto" w:fill="auto"/>
            <w:tcMar>
              <w:top w:w="100" w:type="dxa"/>
              <w:left w:w="100" w:type="dxa"/>
              <w:bottom w:w="100" w:type="dxa"/>
              <w:right w:w="100" w:type="dxa"/>
            </w:tcMar>
          </w:tcPr>
          <w:p w14:paraId="45202C73" w14:textId="77777777" w:rsidR="00117A3A" w:rsidRPr="008D6EF6" w:rsidRDefault="00117A3A" w:rsidP="00117A3A">
            <w:pPr>
              <w:widowControl w:val="0"/>
              <w:pBdr>
                <w:top w:val="nil"/>
                <w:left w:val="nil"/>
                <w:bottom w:val="nil"/>
                <w:right w:val="nil"/>
                <w:between w:val="nil"/>
              </w:pBdr>
              <w:spacing w:before="120" w:after="120"/>
              <w:contextualSpacing/>
              <w:rPr>
                <w:rFonts w:eastAsia="Palatino Linotype" w:cs="Palatino Linotype"/>
              </w:rPr>
            </w:pPr>
          </w:p>
        </w:tc>
        <w:tc>
          <w:tcPr>
            <w:tcW w:w="5220" w:type="dxa"/>
            <w:shd w:val="clear" w:color="auto" w:fill="auto"/>
            <w:tcMar>
              <w:top w:w="100" w:type="dxa"/>
              <w:left w:w="100" w:type="dxa"/>
              <w:bottom w:w="100" w:type="dxa"/>
              <w:right w:w="100" w:type="dxa"/>
            </w:tcMar>
          </w:tcPr>
          <w:p w14:paraId="7E561E33" w14:textId="703A9275" w:rsidR="00117A3A" w:rsidRPr="00784315" w:rsidRDefault="00117A3A" w:rsidP="00117A3A">
            <w:pPr>
              <w:widowControl w:val="0"/>
              <w:spacing w:before="120" w:after="120"/>
              <w:contextualSpacing/>
              <w:rPr>
                <w:rFonts w:eastAsia="Palatino Linotype" w:cs="Palatino Linotype"/>
              </w:rPr>
            </w:pPr>
            <w:r w:rsidRPr="00784315">
              <w:rPr>
                <w:rFonts w:eastAsia="Palatino Linotype" w:cs="Palatino Linotype"/>
                <w:b/>
                <w:bCs w:val="0"/>
              </w:rPr>
              <w:t>3. Assessment Inventory</w:t>
            </w:r>
          </w:p>
          <w:p w14:paraId="48D19658" w14:textId="77777777" w:rsidR="00117A3A" w:rsidRPr="00784315" w:rsidRDefault="00117A3A" w:rsidP="00117A3A">
            <w:pPr>
              <w:widowControl w:val="0"/>
              <w:spacing w:before="120" w:after="120"/>
              <w:ind w:left="14"/>
              <w:contextualSpacing/>
              <w:rPr>
                <w:rFonts w:eastAsia="Palatino Linotype" w:cs="Palatino Linotype"/>
              </w:rPr>
            </w:pPr>
            <w:r w:rsidRPr="00784315">
              <w:rPr>
                <w:rFonts w:eastAsia="Palatino Linotype" w:cs="Palatino Linotype"/>
              </w:rPr>
              <w:t>Effective use of an Assessment Inventory is evident when:</w:t>
            </w:r>
          </w:p>
          <w:p w14:paraId="2B8185B6" w14:textId="77777777" w:rsidR="00117A3A" w:rsidRPr="00784315" w:rsidRDefault="00117A3A" w:rsidP="00117A3A">
            <w:pPr>
              <w:pStyle w:val="ListParagraph"/>
              <w:widowControl w:val="0"/>
              <w:numPr>
                <w:ilvl w:val="0"/>
                <w:numId w:val="33"/>
              </w:numPr>
              <w:spacing w:before="120" w:after="120" w:line="240" w:lineRule="auto"/>
              <w:ind w:left="586"/>
              <w:rPr>
                <w:rFonts w:ascii="Palatino Linotype" w:eastAsia="Palatino Linotype" w:hAnsi="Palatino Linotype" w:cs="Palatino Linotype"/>
              </w:rPr>
            </w:pPr>
            <w:r w:rsidRPr="00784315">
              <w:rPr>
                <w:rFonts w:ascii="Palatino Linotype" w:hAnsi="Palatino Linotype"/>
              </w:rPr>
              <w:t xml:space="preserve">The purpose and alignment of assessments to critical proficiencies or standards are clarified; </w:t>
            </w:r>
          </w:p>
          <w:p w14:paraId="22F3657F" w14:textId="7BB84EBB" w:rsidR="00117A3A" w:rsidRPr="00784315" w:rsidRDefault="00117A3A" w:rsidP="00117A3A">
            <w:pPr>
              <w:pStyle w:val="ListParagraph"/>
              <w:widowControl w:val="0"/>
              <w:numPr>
                <w:ilvl w:val="0"/>
                <w:numId w:val="33"/>
              </w:numPr>
              <w:spacing w:before="120" w:after="120" w:line="240" w:lineRule="auto"/>
              <w:ind w:left="586"/>
              <w:rPr>
                <w:rFonts w:ascii="Palatino Linotype" w:eastAsia="Palatino Linotype" w:hAnsi="Palatino Linotype" w:cs="Palatino Linotype"/>
              </w:rPr>
            </w:pPr>
            <w:r w:rsidRPr="00784315">
              <w:rPr>
                <w:rFonts w:ascii="Palatino Linotype" w:hAnsi="Palatino Linotype"/>
              </w:rPr>
              <w:t xml:space="preserve">Assessments that are currently in place are </w:t>
            </w:r>
            <w:r w:rsidR="007331A1">
              <w:rPr>
                <w:rFonts w:ascii="Palatino Linotype" w:hAnsi="Palatino Linotype"/>
              </w:rPr>
              <w:t xml:space="preserve">evaluated for </w:t>
            </w:r>
            <w:r w:rsidRPr="00784315">
              <w:rPr>
                <w:rFonts w:ascii="Palatino Linotype" w:hAnsi="Palatino Linotype"/>
              </w:rPr>
              <w:t>gaps and redundancies;</w:t>
            </w:r>
          </w:p>
          <w:p w14:paraId="6E896C76" w14:textId="77777777" w:rsidR="00117A3A" w:rsidRPr="00784315" w:rsidRDefault="00117A3A" w:rsidP="00117A3A">
            <w:pPr>
              <w:pStyle w:val="ListParagraph"/>
              <w:widowControl w:val="0"/>
              <w:numPr>
                <w:ilvl w:val="0"/>
                <w:numId w:val="33"/>
              </w:numPr>
              <w:spacing w:before="120" w:after="120" w:line="240" w:lineRule="auto"/>
              <w:ind w:left="586"/>
              <w:rPr>
                <w:rFonts w:ascii="Palatino Linotype" w:eastAsia="Palatino Linotype" w:hAnsi="Palatino Linotype" w:cs="Palatino Linotype"/>
              </w:rPr>
            </w:pPr>
            <w:r w:rsidRPr="00784315">
              <w:rPr>
                <w:rFonts w:ascii="Palatino Linotype" w:hAnsi="Palatino Linotype"/>
              </w:rPr>
              <w:t>The appropriate use of assessment data is determined;</w:t>
            </w:r>
          </w:p>
          <w:p w14:paraId="2912D4F8" w14:textId="77777777" w:rsidR="00117A3A" w:rsidRPr="00784315" w:rsidRDefault="00117A3A" w:rsidP="00117A3A">
            <w:pPr>
              <w:pStyle w:val="ListParagraph"/>
              <w:widowControl w:val="0"/>
              <w:numPr>
                <w:ilvl w:val="0"/>
                <w:numId w:val="33"/>
              </w:numPr>
              <w:spacing w:before="120" w:after="120" w:line="240" w:lineRule="auto"/>
              <w:ind w:left="586"/>
              <w:rPr>
                <w:rFonts w:ascii="Palatino Linotype" w:eastAsia="Palatino Linotype" w:hAnsi="Palatino Linotype" w:cs="Palatino Linotype"/>
              </w:rPr>
            </w:pPr>
            <w:r w:rsidRPr="00784315">
              <w:rPr>
                <w:rFonts w:ascii="Palatino Linotype" w:hAnsi="Palatino Linotype"/>
              </w:rPr>
              <w:t>Assessments are eliminated if the data generated is not used in a meaningful way;</w:t>
            </w:r>
          </w:p>
          <w:p w14:paraId="5280E95C" w14:textId="77777777" w:rsidR="00117A3A" w:rsidRPr="00784315" w:rsidRDefault="00117A3A" w:rsidP="00117A3A">
            <w:pPr>
              <w:pStyle w:val="ListParagraph"/>
              <w:widowControl w:val="0"/>
              <w:numPr>
                <w:ilvl w:val="0"/>
                <w:numId w:val="33"/>
              </w:numPr>
              <w:pBdr>
                <w:top w:val="nil"/>
                <w:left w:val="nil"/>
                <w:bottom w:val="nil"/>
                <w:right w:val="nil"/>
                <w:between w:val="nil"/>
              </w:pBdr>
              <w:spacing w:before="120" w:after="120" w:line="240" w:lineRule="auto"/>
              <w:ind w:left="586"/>
              <w:rPr>
                <w:rFonts w:ascii="Palatino Linotype" w:eastAsia="Palatino Linotype" w:hAnsi="Palatino Linotype" w:cs="Palatino Linotype"/>
              </w:rPr>
            </w:pPr>
            <w:r w:rsidRPr="00784315">
              <w:rPr>
                <w:rFonts w:ascii="Palatino Linotype" w:eastAsia="Palatino Linotype" w:hAnsi="Palatino Linotype" w:cs="Palatino Linotype"/>
              </w:rPr>
              <w:t xml:space="preserve">Assessments are aligned vertically PreK-12 and horizontally across classrooms within a grade level; </w:t>
            </w:r>
            <w:r w:rsidRPr="00784315" w:rsidDel="00365D9E">
              <w:rPr>
                <w:rFonts w:ascii="Palatino Linotype" w:eastAsia="Palatino Linotype" w:hAnsi="Palatino Linotype" w:cs="Palatino Linotype"/>
              </w:rPr>
              <w:t xml:space="preserve">and </w:t>
            </w:r>
          </w:p>
          <w:p w14:paraId="36856243" w14:textId="77777777" w:rsidR="00117A3A" w:rsidRPr="00784315" w:rsidRDefault="00117A3A" w:rsidP="000218D6">
            <w:pPr>
              <w:pStyle w:val="ListParagraph"/>
              <w:widowControl w:val="0"/>
              <w:numPr>
                <w:ilvl w:val="0"/>
                <w:numId w:val="33"/>
              </w:numPr>
              <w:pBdr>
                <w:top w:val="nil"/>
                <w:left w:val="nil"/>
                <w:bottom w:val="nil"/>
                <w:right w:val="nil"/>
                <w:between w:val="nil"/>
              </w:pBdr>
              <w:spacing w:before="120" w:after="3000" w:line="240" w:lineRule="auto"/>
              <w:ind w:left="590"/>
              <w:rPr>
                <w:rFonts w:ascii="Palatino Linotype" w:eastAsia="Palatino Linotype" w:hAnsi="Palatino Linotype" w:cs="Palatino Linotype"/>
              </w:rPr>
            </w:pPr>
            <w:r w:rsidRPr="00784315">
              <w:rPr>
                <w:rFonts w:ascii="Palatino Linotype" w:eastAsia="Palatino Linotype" w:hAnsi="Palatino Linotype" w:cs="Palatino Linotype"/>
              </w:rPr>
              <w:t>Multiple measures, including universal screeners, diagnostics, progress monitoring, formative and summative assessments, performance assessments, and state assessments are used to improve outcomes.</w:t>
            </w:r>
          </w:p>
        </w:tc>
        <w:tc>
          <w:tcPr>
            <w:tcW w:w="4680" w:type="dxa"/>
            <w:shd w:val="clear" w:color="auto" w:fill="auto"/>
            <w:tcMar>
              <w:top w:w="100" w:type="dxa"/>
              <w:left w:w="100" w:type="dxa"/>
              <w:bottom w:w="100" w:type="dxa"/>
              <w:right w:w="100" w:type="dxa"/>
            </w:tcMar>
          </w:tcPr>
          <w:p w14:paraId="36177723" w14:textId="77777777" w:rsidR="00117A3A" w:rsidRPr="008D6EF6" w:rsidRDefault="00117A3A" w:rsidP="00117A3A">
            <w:pPr>
              <w:widowControl w:val="0"/>
              <w:pBdr>
                <w:top w:val="nil"/>
                <w:left w:val="nil"/>
                <w:bottom w:val="nil"/>
                <w:right w:val="nil"/>
                <w:between w:val="nil"/>
              </w:pBdr>
              <w:spacing w:before="120" w:after="120"/>
              <w:contextualSpacing/>
              <w:rPr>
                <w:rFonts w:eastAsia="Palatino Linotype" w:cs="Palatino Linotype"/>
              </w:rPr>
            </w:pPr>
          </w:p>
        </w:tc>
      </w:tr>
      <w:tr w:rsidR="00117A3A" w:rsidRPr="008D6EF6" w14:paraId="7DD96F6F" w14:textId="77777777" w:rsidTr="007C10A6">
        <w:trPr>
          <w:cantSplit/>
        </w:trPr>
        <w:tc>
          <w:tcPr>
            <w:tcW w:w="4500" w:type="dxa"/>
            <w:shd w:val="clear" w:color="auto" w:fill="auto"/>
            <w:tcMar>
              <w:top w:w="100" w:type="dxa"/>
              <w:left w:w="100" w:type="dxa"/>
              <w:bottom w:w="100" w:type="dxa"/>
              <w:right w:w="100" w:type="dxa"/>
            </w:tcMar>
          </w:tcPr>
          <w:p w14:paraId="32E5B345" w14:textId="77777777" w:rsidR="00117A3A" w:rsidRPr="008D6EF6" w:rsidRDefault="00117A3A" w:rsidP="00117A3A">
            <w:pPr>
              <w:widowControl w:val="0"/>
              <w:pBdr>
                <w:top w:val="nil"/>
                <w:left w:val="nil"/>
                <w:bottom w:val="nil"/>
                <w:right w:val="nil"/>
                <w:between w:val="nil"/>
              </w:pBdr>
              <w:spacing w:before="120" w:after="120"/>
              <w:contextualSpacing/>
              <w:rPr>
                <w:rFonts w:eastAsia="Palatino Linotype" w:cs="Palatino Linotype"/>
              </w:rPr>
            </w:pPr>
          </w:p>
        </w:tc>
        <w:tc>
          <w:tcPr>
            <w:tcW w:w="5220" w:type="dxa"/>
            <w:shd w:val="clear" w:color="auto" w:fill="auto"/>
            <w:tcMar>
              <w:top w:w="100" w:type="dxa"/>
              <w:left w:w="100" w:type="dxa"/>
              <w:bottom w:w="100" w:type="dxa"/>
              <w:right w:w="100" w:type="dxa"/>
            </w:tcMar>
          </w:tcPr>
          <w:p w14:paraId="311B2F71" w14:textId="1211872C" w:rsidR="00117A3A" w:rsidRPr="00784315" w:rsidRDefault="00117A3A" w:rsidP="00117A3A">
            <w:pPr>
              <w:widowControl w:val="0"/>
              <w:spacing w:before="120" w:after="120"/>
              <w:contextualSpacing/>
              <w:rPr>
                <w:rFonts w:eastAsia="Palatino Linotype" w:cs="Palatino Linotype"/>
              </w:rPr>
            </w:pPr>
            <w:r w:rsidRPr="00784315">
              <w:rPr>
                <w:rFonts w:eastAsia="Palatino Linotype" w:cs="Palatino Linotype"/>
                <w:b/>
                <w:bCs w:val="0"/>
              </w:rPr>
              <w:t>4. Assessment Literacy</w:t>
            </w:r>
          </w:p>
          <w:p w14:paraId="7AF7BF90" w14:textId="77777777" w:rsidR="00117A3A" w:rsidRPr="00784315" w:rsidRDefault="00117A3A" w:rsidP="00117A3A">
            <w:pPr>
              <w:widowControl w:val="0"/>
              <w:spacing w:before="120" w:after="120"/>
              <w:ind w:left="14"/>
              <w:contextualSpacing/>
              <w:rPr>
                <w:rFonts w:eastAsia="Palatino Linotype" w:cs="Palatino Linotype"/>
              </w:rPr>
            </w:pPr>
            <w:r w:rsidRPr="00784315">
              <w:rPr>
                <w:rFonts w:eastAsia="Palatino Linotype" w:cs="Palatino Linotype"/>
              </w:rPr>
              <w:t>Assessment literacy is supported when:</w:t>
            </w:r>
          </w:p>
          <w:p w14:paraId="0D7CFC63" w14:textId="77777777" w:rsidR="00117A3A" w:rsidRPr="00784315" w:rsidRDefault="00117A3A" w:rsidP="00117A3A">
            <w:pPr>
              <w:pStyle w:val="ListParagraph"/>
              <w:widowControl w:val="0"/>
              <w:numPr>
                <w:ilvl w:val="0"/>
                <w:numId w:val="34"/>
              </w:numPr>
              <w:spacing w:before="120" w:after="120" w:line="240" w:lineRule="auto"/>
              <w:ind w:left="586"/>
              <w:rPr>
                <w:rFonts w:ascii="Palatino Linotype" w:eastAsia="Palatino Linotype" w:hAnsi="Palatino Linotype" w:cs="Palatino Linotype"/>
              </w:rPr>
            </w:pPr>
            <w:r w:rsidRPr="00784315">
              <w:rPr>
                <w:rFonts w:ascii="Palatino Linotype" w:hAnsi="Palatino Linotype"/>
              </w:rPr>
              <w:t>A systemic structure designed to provide the time, resources, and professional learning related to assessment literacy is in place;</w:t>
            </w:r>
          </w:p>
          <w:p w14:paraId="0EEB2C39" w14:textId="68B14D86" w:rsidR="00117A3A" w:rsidRPr="00784315" w:rsidRDefault="00117A3A" w:rsidP="00117A3A">
            <w:pPr>
              <w:pStyle w:val="ListParagraph"/>
              <w:widowControl w:val="0"/>
              <w:numPr>
                <w:ilvl w:val="0"/>
                <w:numId w:val="34"/>
              </w:numPr>
              <w:spacing w:before="120" w:after="120" w:line="240" w:lineRule="auto"/>
              <w:ind w:left="586"/>
              <w:rPr>
                <w:rFonts w:ascii="Palatino Linotype" w:eastAsia="Palatino Linotype" w:hAnsi="Palatino Linotype" w:cs="Palatino Linotype"/>
              </w:rPr>
            </w:pPr>
            <w:r w:rsidRPr="00784315">
              <w:rPr>
                <w:rFonts w:ascii="Palatino Linotype" w:hAnsi="Palatino Linotype"/>
              </w:rPr>
              <w:t xml:space="preserve">Opportunities are available for teachers to calibrate scoring of student work in order to create consistency </w:t>
            </w:r>
            <w:r w:rsidR="009A2BE4">
              <w:rPr>
                <w:rFonts w:ascii="Palatino Linotype" w:hAnsi="Palatino Linotype"/>
              </w:rPr>
              <w:t>in</w:t>
            </w:r>
            <w:r w:rsidRPr="00784315">
              <w:rPr>
                <w:rFonts w:ascii="Palatino Linotype" w:hAnsi="Palatino Linotype"/>
              </w:rPr>
              <w:t xml:space="preserve"> scoring practices;</w:t>
            </w:r>
          </w:p>
          <w:p w14:paraId="6F0C3A68" w14:textId="77777777" w:rsidR="00117A3A" w:rsidRPr="00784315" w:rsidRDefault="00117A3A" w:rsidP="00117A3A">
            <w:pPr>
              <w:pStyle w:val="ListParagraph"/>
              <w:widowControl w:val="0"/>
              <w:numPr>
                <w:ilvl w:val="0"/>
                <w:numId w:val="34"/>
              </w:numPr>
              <w:spacing w:before="120" w:after="120" w:line="240" w:lineRule="auto"/>
              <w:ind w:left="586"/>
              <w:rPr>
                <w:rFonts w:ascii="Palatino Linotype" w:eastAsia="Palatino Linotype" w:hAnsi="Palatino Linotype" w:cs="Palatino Linotype"/>
              </w:rPr>
            </w:pPr>
            <w:r w:rsidRPr="00784315">
              <w:rPr>
                <w:rFonts w:ascii="Palatino Linotype" w:eastAsia="Palatino Linotype" w:hAnsi="Palatino Linotype" w:cs="Palatino Linotype"/>
              </w:rPr>
              <w:t>Discussion</w:t>
            </w:r>
            <w:r w:rsidRPr="00784315">
              <w:rPr>
                <w:rFonts w:ascii="Palatino Linotype" w:hAnsi="Palatino Linotype"/>
              </w:rPr>
              <w:t xml:space="preserve"> of student work enables teachers to collaborate and determine next steps for improving outcomes for students; </w:t>
            </w:r>
          </w:p>
          <w:p w14:paraId="43298E5C" w14:textId="77777777" w:rsidR="00117A3A" w:rsidRPr="00784315" w:rsidRDefault="00117A3A" w:rsidP="00117A3A">
            <w:pPr>
              <w:pStyle w:val="ListParagraph"/>
              <w:widowControl w:val="0"/>
              <w:numPr>
                <w:ilvl w:val="0"/>
                <w:numId w:val="34"/>
              </w:numPr>
              <w:spacing w:before="120" w:after="120" w:line="240" w:lineRule="auto"/>
              <w:ind w:left="586"/>
              <w:rPr>
                <w:rStyle w:val="Hyperlink"/>
                <w:rFonts w:ascii="Palatino Linotype" w:hAnsi="Palatino Linotype" w:cstheme="minorBidi"/>
                <w:color w:val="auto"/>
                <w:u w:val="none"/>
              </w:rPr>
            </w:pPr>
            <w:r w:rsidRPr="00784315">
              <w:rPr>
                <w:rFonts w:ascii="Palatino Linotype" w:eastAsia="Palatino Linotype" w:hAnsi="Palatino Linotype" w:cs="Palatino Linotype"/>
              </w:rPr>
              <w:t xml:space="preserve">Summative state assessments are used to inform professional learning for educators and curriculum development; </w:t>
            </w:r>
          </w:p>
          <w:p w14:paraId="2C472C86" w14:textId="77777777" w:rsidR="00117A3A" w:rsidRPr="00784315" w:rsidRDefault="00117A3A" w:rsidP="00117A3A">
            <w:pPr>
              <w:pStyle w:val="ListParagraph"/>
              <w:widowControl w:val="0"/>
              <w:numPr>
                <w:ilvl w:val="0"/>
                <w:numId w:val="34"/>
              </w:numPr>
              <w:pBdr>
                <w:top w:val="nil"/>
                <w:left w:val="nil"/>
                <w:bottom w:val="nil"/>
                <w:right w:val="nil"/>
                <w:between w:val="nil"/>
              </w:pBdr>
              <w:spacing w:before="120" w:after="120" w:line="240" w:lineRule="auto"/>
              <w:ind w:left="586"/>
              <w:rPr>
                <w:rStyle w:val="Hyperlink"/>
                <w:rFonts w:ascii="Palatino Linotype" w:eastAsia="Palatino Linotype" w:hAnsi="Palatino Linotype" w:cs="Palatino Linotype"/>
                <w:color w:val="auto"/>
                <w:u w:val="none"/>
              </w:rPr>
            </w:pPr>
            <w:r w:rsidRPr="00784315">
              <w:rPr>
                <w:rFonts w:ascii="Palatino Linotype" w:eastAsia="Palatino Linotype" w:hAnsi="Palatino Linotype" w:cs="Palatino Linotype"/>
              </w:rPr>
              <w:t>Formative assessment practices are used as an essential strategy for improving teaching and learning</w:t>
            </w:r>
            <w:r>
              <w:rPr>
                <w:rFonts w:ascii="Palatino Linotype" w:eastAsia="Palatino Linotype" w:hAnsi="Palatino Linotype" w:cs="Palatino Linotype"/>
              </w:rPr>
              <w:t xml:space="preserve"> and </w:t>
            </w:r>
            <w:r w:rsidRPr="00784315">
              <w:rPr>
                <w:rFonts w:ascii="Palatino Linotype" w:eastAsia="Palatino Linotype" w:hAnsi="Palatino Linotype" w:cs="Palatino Linotype"/>
              </w:rPr>
              <w:t>providing opportunities for students to receive and apply feedback</w:t>
            </w:r>
            <w:r>
              <w:rPr>
                <w:rFonts w:ascii="Palatino Linotype" w:eastAsia="Palatino Linotype" w:hAnsi="Palatino Linotype" w:cs="Palatino Linotype"/>
              </w:rPr>
              <w:t>; and</w:t>
            </w:r>
          </w:p>
          <w:p w14:paraId="4183E6FF" w14:textId="77777777" w:rsidR="00117A3A" w:rsidRPr="00784315" w:rsidRDefault="00117A3A" w:rsidP="000218D6">
            <w:pPr>
              <w:pStyle w:val="ListParagraph"/>
              <w:widowControl w:val="0"/>
              <w:numPr>
                <w:ilvl w:val="0"/>
                <w:numId w:val="34"/>
              </w:numPr>
              <w:pBdr>
                <w:top w:val="nil"/>
                <w:left w:val="nil"/>
                <w:bottom w:val="nil"/>
                <w:right w:val="nil"/>
                <w:between w:val="nil"/>
              </w:pBdr>
              <w:tabs>
                <w:tab w:val="left" w:pos="316"/>
              </w:tabs>
              <w:spacing w:before="120" w:after="2160" w:line="240" w:lineRule="auto"/>
              <w:ind w:left="590"/>
              <w:rPr>
                <w:rFonts w:ascii="Palatino Linotype" w:eastAsia="Palatino Linotype" w:hAnsi="Palatino Linotype" w:cs="Palatino Linotype"/>
              </w:rPr>
            </w:pPr>
            <w:r w:rsidRPr="00784315">
              <w:rPr>
                <w:rFonts w:ascii="Palatino Linotype" w:eastAsia="Palatino Linotype" w:hAnsi="Palatino Linotype" w:cs="Palatino Linotype"/>
              </w:rPr>
              <w:t>Teaching and assessment tools, such as learning progressions, learning targets, proficiency scales, and rubrics, are evident and provide clear guidelines to teachers and students regarding assessment goals.</w:t>
            </w:r>
          </w:p>
        </w:tc>
        <w:tc>
          <w:tcPr>
            <w:tcW w:w="4680" w:type="dxa"/>
            <w:shd w:val="clear" w:color="auto" w:fill="auto"/>
            <w:tcMar>
              <w:top w:w="100" w:type="dxa"/>
              <w:left w:w="100" w:type="dxa"/>
              <w:bottom w:w="100" w:type="dxa"/>
              <w:right w:w="100" w:type="dxa"/>
            </w:tcMar>
          </w:tcPr>
          <w:p w14:paraId="7C41A810" w14:textId="77777777" w:rsidR="00117A3A" w:rsidRPr="008D6EF6" w:rsidRDefault="00117A3A" w:rsidP="00117A3A">
            <w:pPr>
              <w:widowControl w:val="0"/>
              <w:pBdr>
                <w:top w:val="nil"/>
                <w:left w:val="nil"/>
                <w:bottom w:val="nil"/>
                <w:right w:val="nil"/>
                <w:between w:val="nil"/>
              </w:pBdr>
              <w:spacing w:before="120" w:after="120"/>
              <w:contextualSpacing/>
              <w:rPr>
                <w:rFonts w:eastAsia="Palatino Linotype" w:cs="Palatino Linotype"/>
              </w:rPr>
            </w:pPr>
          </w:p>
        </w:tc>
      </w:tr>
      <w:tr w:rsidR="00117A3A" w:rsidRPr="008D6EF6" w14:paraId="00E1122F" w14:textId="77777777" w:rsidTr="007C10A6">
        <w:trPr>
          <w:cantSplit/>
        </w:trPr>
        <w:tc>
          <w:tcPr>
            <w:tcW w:w="4500" w:type="dxa"/>
            <w:shd w:val="clear" w:color="auto" w:fill="auto"/>
            <w:tcMar>
              <w:top w:w="100" w:type="dxa"/>
              <w:left w:w="100" w:type="dxa"/>
              <w:bottom w:w="100" w:type="dxa"/>
              <w:right w:w="100" w:type="dxa"/>
            </w:tcMar>
          </w:tcPr>
          <w:p w14:paraId="1994FED2" w14:textId="77777777" w:rsidR="00117A3A" w:rsidRPr="008D6EF6" w:rsidRDefault="00117A3A" w:rsidP="00117A3A">
            <w:pPr>
              <w:widowControl w:val="0"/>
              <w:pBdr>
                <w:top w:val="nil"/>
                <w:left w:val="nil"/>
                <w:bottom w:val="nil"/>
                <w:right w:val="nil"/>
                <w:between w:val="nil"/>
              </w:pBdr>
              <w:spacing w:before="120" w:after="120"/>
              <w:contextualSpacing/>
              <w:rPr>
                <w:rFonts w:eastAsia="Palatino Linotype" w:cs="Palatino Linotype"/>
              </w:rPr>
            </w:pPr>
          </w:p>
        </w:tc>
        <w:tc>
          <w:tcPr>
            <w:tcW w:w="5220" w:type="dxa"/>
            <w:shd w:val="clear" w:color="auto" w:fill="auto"/>
            <w:tcMar>
              <w:top w:w="100" w:type="dxa"/>
              <w:left w:w="100" w:type="dxa"/>
              <w:bottom w:w="100" w:type="dxa"/>
              <w:right w:w="100" w:type="dxa"/>
            </w:tcMar>
          </w:tcPr>
          <w:p w14:paraId="04007DC2" w14:textId="457B4F6B" w:rsidR="00117A3A" w:rsidRPr="00784315" w:rsidRDefault="00117A3A" w:rsidP="00117A3A">
            <w:pPr>
              <w:widowControl w:val="0"/>
              <w:spacing w:before="120" w:after="120"/>
              <w:contextualSpacing/>
              <w:rPr>
                <w:rFonts w:eastAsia="Palatino Linotype" w:cs="Palatino Linotype"/>
                <w:b/>
                <w:bCs w:val="0"/>
              </w:rPr>
            </w:pPr>
            <w:r w:rsidRPr="00784315">
              <w:rPr>
                <w:rFonts w:eastAsia="Palatino Linotype" w:cs="Palatino Linotype"/>
                <w:b/>
                <w:bCs w:val="0"/>
              </w:rPr>
              <w:t>5. Personalized Learning Plans</w:t>
            </w:r>
          </w:p>
          <w:p w14:paraId="21E5292F" w14:textId="77777777" w:rsidR="00117A3A" w:rsidRPr="00784315" w:rsidRDefault="00117A3A" w:rsidP="00117A3A">
            <w:pPr>
              <w:widowControl w:val="0"/>
              <w:spacing w:before="120" w:after="120"/>
              <w:contextualSpacing/>
              <w:rPr>
                <w:rFonts w:eastAsia="Palatino Linotype" w:cs="Palatino Linotype"/>
              </w:rPr>
            </w:pPr>
            <w:r w:rsidRPr="00784315">
              <w:rPr>
                <w:rFonts w:eastAsia="Palatino Linotype" w:cs="Palatino Linotype"/>
              </w:rPr>
              <w:t>The Personalized Learning Planning process is supported when:</w:t>
            </w:r>
          </w:p>
          <w:p w14:paraId="6F69C245" w14:textId="77777777" w:rsidR="00117A3A" w:rsidRPr="00784315" w:rsidRDefault="00117A3A" w:rsidP="00117A3A">
            <w:pPr>
              <w:pStyle w:val="ListParagraph"/>
              <w:widowControl w:val="0"/>
              <w:numPr>
                <w:ilvl w:val="0"/>
                <w:numId w:val="35"/>
              </w:numPr>
              <w:spacing w:before="120" w:after="120" w:line="240" w:lineRule="auto"/>
              <w:ind w:left="586"/>
              <w:rPr>
                <w:rFonts w:ascii="Palatino Linotype" w:eastAsia="Palatino Linotype" w:hAnsi="Palatino Linotype" w:cs="Palatino Linotype"/>
                <w:b/>
                <w:bCs w:val="0"/>
              </w:rPr>
            </w:pPr>
            <w:r w:rsidRPr="00784315">
              <w:rPr>
                <w:rFonts w:ascii="Palatino Linotype" w:eastAsia="Palatino Linotype" w:hAnsi="Palatino Linotype" w:cs="Palatino Linotype"/>
              </w:rPr>
              <w:t xml:space="preserve">PLPs are </w:t>
            </w:r>
            <w:r w:rsidRPr="00784315">
              <w:rPr>
                <w:rFonts w:ascii="Palatino Linotype" w:hAnsi="Palatino Linotype"/>
              </w:rPr>
              <w:t>integrated throughout the system and used to document learning, provide opportunities for self-assessment and reflection on learning over time, and create pathways for meeting future goals;</w:t>
            </w:r>
          </w:p>
          <w:p w14:paraId="474EB4DF" w14:textId="0F67DDB5" w:rsidR="00117A3A" w:rsidRPr="00784315" w:rsidRDefault="00117A3A" w:rsidP="00117A3A">
            <w:pPr>
              <w:pStyle w:val="ListParagraph"/>
              <w:widowControl w:val="0"/>
              <w:numPr>
                <w:ilvl w:val="0"/>
                <w:numId w:val="35"/>
              </w:numPr>
              <w:spacing w:before="120" w:after="120" w:line="240" w:lineRule="auto"/>
              <w:ind w:left="586"/>
              <w:rPr>
                <w:rFonts w:ascii="Palatino Linotype" w:eastAsia="Palatino Linotype" w:hAnsi="Palatino Linotype" w:cs="Palatino Linotype"/>
                <w:b/>
                <w:bCs w:val="0"/>
              </w:rPr>
            </w:pPr>
            <w:r w:rsidRPr="00784315">
              <w:rPr>
                <w:rFonts w:ascii="Palatino Linotype" w:hAnsi="Palatino Linotype"/>
              </w:rPr>
              <w:t>PLP development is</w:t>
            </w:r>
            <w:r w:rsidRPr="00784315" w:rsidDel="002B26C2">
              <w:rPr>
                <w:rFonts w:ascii="Palatino Linotype" w:hAnsi="Palatino Linotype"/>
              </w:rPr>
              <w:t xml:space="preserve"> coordinated</w:t>
            </w:r>
            <w:r w:rsidRPr="00784315">
              <w:rPr>
                <w:rFonts w:ascii="Palatino Linotype" w:hAnsi="Palatino Linotype"/>
              </w:rPr>
              <w:t xml:space="preserve"> across grade levels, instructors, and the school system;</w:t>
            </w:r>
          </w:p>
          <w:p w14:paraId="317DA6C1" w14:textId="77777777" w:rsidR="00117A3A" w:rsidRPr="00784315" w:rsidDel="00E513E6" w:rsidRDefault="00117A3A" w:rsidP="00117A3A">
            <w:pPr>
              <w:pStyle w:val="ListParagraph"/>
              <w:widowControl w:val="0"/>
              <w:numPr>
                <w:ilvl w:val="0"/>
                <w:numId w:val="35"/>
              </w:numPr>
              <w:spacing w:before="120" w:after="120" w:line="240" w:lineRule="auto"/>
              <w:ind w:left="586"/>
              <w:rPr>
                <w:rFonts w:ascii="Palatino Linotype" w:eastAsia="Palatino Linotype" w:hAnsi="Palatino Linotype" w:cs="Palatino Linotype"/>
                <w:b/>
                <w:bCs w:val="0"/>
              </w:rPr>
            </w:pPr>
            <w:r w:rsidRPr="00784315" w:rsidDel="00E513E6">
              <w:rPr>
                <w:rFonts w:ascii="Palatino Linotype" w:hAnsi="Palatino Linotype"/>
              </w:rPr>
              <w:t>Students have an active role in the learning environment with opportunities to reflect on their own learning and aspire to new learning throughout their PK-12 experience</w:t>
            </w:r>
            <w:r>
              <w:rPr>
                <w:rFonts w:ascii="Palatino Linotype" w:hAnsi="Palatino Linotype"/>
              </w:rPr>
              <w:t>; and</w:t>
            </w:r>
          </w:p>
          <w:p w14:paraId="3C73087D" w14:textId="77777777" w:rsidR="00117A3A" w:rsidRPr="00784315" w:rsidRDefault="00117A3A" w:rsidP="000218D6">
            <w:pPr>
              <w:pStyle w:val="ListParagraph"/>
              <w:widowControl w:val="0"/>
              <w:numPr>
                <w:ilvl w:val="0"/>
                <w:numId w:val="35"/>
              </w:numPr>
              <w:spacing w:before="120" w:after="3360" w:line="240" w:lineRule="auto"/>
              <w:ind w:left="590"/>
              <w:rPr>
                <w:rFonts w:ascii="Palatino Linotype" w:eastAsia="Palatino Linotype" w:hAnsi="Palatino Linotype" w:cs="Palatino Linotype"/>
                <w:b/>
                <w:bCs w:val="0"/>
              </w:rPr>
            </w:pPr>
            <w:r w:rsidRPr="00784315">
              <w:rPr>
                <w:rFonts w:ascii="Palatino Linotype" w:eastAsia="Palatino Linotype" w:hAnsi="Palatino Linotype" w:cs="Palatino Linotype"/>
              </w:rPr>
              <w:t>Students, educators, and parents/guardians can access information about the ongoing progress of student learning.</w:t>
            </w:r>
          </w:p>
        </w:tc>
        <w:tc>
          <w:tcPr>
            <w:tcW w:w="4680" w:type="dxa"/>
            <w:shd w:val="clear" w:color="auto" w:fill="auto"/>
            <w:tcMar>
              <w:top w:w="100" w:type="dxa"/>
              <w:left w:w="100" w:type="dxa"/>
              <w:bottom w:w="100" w:type="dxa"/>
              <w:right w:w="100" w:type="dxa"/>
            </w:tcMar>
          </w:tcPr>
          <w:p w14:paraId="24197D1A" w14:textId="77777777" w:rsidR="00117A3A" w:rsidRPr="008D6EF6" w:rsidRDefault="00117A3A" w:rsidP="00117A3A">
            <w:pPr>
              <w:widowControl w:val="0"/>
              <w:pBdr>
                <w:top w:val="nil"/>
                <w:left w:val="nil"/>
                <w:bottom w:val="nil"/>
                <w:right w:val="nil"/>
                <w:between w:val="nil"/>
              </w:pBdr>
              <w:spacing w:before="120" w:after="120"/>
              <w:contextualSpacing/>
              <w:rPr>
                <w:rFonts w:eastAsia="Palatino Linotype" w:cs="Palatino Linotype"/>
              </w:rPr>
            </w:pPr>
          </w:p>
        </w:tc>
      </w:tr>
      <w:tr w:rsidR="00117A3A" w:rsidRPr="008D6EF6" w14:paraId="2E579E4C" w14:textId="77777777" w:rsidTr="007C10A6">
        <w:trPr>
          <w:cantSplit/>
        </w:trPr>
        <w:tc>
          <w:tcPr>
            <w:tcW w:w="4500" w:type="dxa"/>
            <w:shd w:val="clear" w:color="auto" w:fill="auto"/>
            <w:tcMar>
              <w:top w:w="100" w:type="dxa"/>
              <w:left w:w="100" w:type="dxa"/>
              <w:bottom w:w="100" w:type="dxa"/>
              <w:right w:w="100" w:type="dxa"/>
            </w:tcMar>
          </w:tcPr>
          <w:p w14:paraId="55835057" w14:textId="77777777" w:rsidR="00117A3A" w:rsidRPr="008D6EF6" w:rsidRDefault="00117A3A" w:rsidP="00117A3A">
            <w:pPr>
              <w:widowControl w:val="0"/>
              <w:pBdr>
                <w:top w:val="nil"/>
                <w:left w:val="nil"/>
                <w:bottom w:val="nil"/>
                <w:right w:val="nil"/>
                <w:between w:val="nil"/>
              </w:pBdr>
              <w:spacing w:before="120" w:after="120"/>
              <w:contextualSpacing/>
              <w:rPr>
                <w:rFonts w:eastAsia="Palatino Linotype" w:cs="Palatino Linotype"/>
              </w:rPr>
            </w:pPr>
          </w:p>
        </w:tc>
        <w:tc>
          <w:tcPr>
            <w:tcW w:w="5220" w:type="dxa"/>
            <w:shd w:val="clear" w:color="auto" w:fill="auto"/>
            <w:tcMar>
              <w:top w:w="100" w:type="dxa"/>
              <w:left w:w="100" w:type="dxa"/>
              <w:bottom w:w="100" w:type="dxa"/>
              <w:right w:w="100" w:type="dxa"/>
            </w:tcMar>
          </w:tcPr>
          <w:p w14:paraId="29AE0D73" w14:textId="77777777" w:rsidR="00117A3A" w:rsidRPr="00784315" w:rsidRDefault="00117A3A" w:rsidP="00117A3A">
            <w:pPr>
              <w:widowControl w:val="0"/>
              <w:spacing w:before="120" w:after="120"/>
              <w:contextualSpacing/>
              <w:rPr>
                <w:rFonts w:eastAsia="Palatino Linotype" w:cs="Palatino Linotype"/>
                <w:b/>
                <w:bCs w:val="0"/>
              </w:rPr>
            </w:pPr>
            <w:r w:rsidRPr="00784315">
              <w:rPr>
                <w:rFonts w:eastAsia="Palatino Linotype" w:cs="Palatino Linotype"/>
                <w:b/>
                <w:bCs w:val="0"/>
              </w:rPr>
              <w:t>6. A Culture of High Expectations</w:t>
            </w:r>
          </w:p>
          <w:p w14:paraId="1546ACAD" w14:textId="77777777" w:rsidR="00117A3A" w:rsidRPr="00784315" w:rsidRDefault="00117A3A" w:rsidP="00117A3A">
            <w:pPr>
              <w:widowControl w:val="0"/>
              <w:spacing w:before="120" w:after="120"/>
              <w:contextualSpacing/>
              <w:rPr>
                <w:rFonts w:eastAsia="Palatino Linotype" w:cs="Palatino Linotype"/>
              </w:rPr>
            </w:pPr>
            <w:r w:rsidRPr="00784315">
              <w:rPr>
                <w:rFonts w:eastAsia="Palatino Linotype" w:cs="Palatino Linotype"/>
              </w:rPr>
              <w:t>A culture of high expectations is created when:</w:t>
            </w:r>
          </w:p>
          <w:p w14:paraId="535B2FA7" w14:textId="77777777" w:rsidR="00117A3A" w:rsidRPr="00784315" w:rsidRDefault="00117A3A" w:rsidP="00117A3A">
            <w:pPr>
              <w:pStyle w:val="ListParagraph"/>
              <w:widowControl w:val="0"/>
              <w:numPr>
                <w:ilvl w:val="0"/>
                <w:numId w:val="36"/>
              </w:numPr>
              <w:spacing w:before="120" w:after="120" w:line="240" w:lineRule="auto"/>
              <w:ind w:left="586"/>
              <w:rPr>
                <w:rFonts w:ascii="Palatino Linotype" w:eastAsia="Palatino Linotype" w:hAnsi="Palatino Linotype" w:cs="Palatino Linotype"/>
              </w:rPr>
            </w:pPr>
            <w:r w:rsidRPr="00784315">
              <w:rPr>
                <w:rFonts w:ascii="Palatino Linotype" w:hAnsi="Palatino Linotype"/>
              </w:rPr>
              <w:t xml:space="preserve">Students, parents, and educators truly believe that every learner can reach high expectations; </w:t>
            </w:r>
          </w:p>
          <w:p w14:paraId="6C400C75" w14:textId="77777777" w:rsidR="00117A3A" w:rsidRPr="00784315" w:rsidRDefault="00117A3A" w:rsidP="00117A3A">
            <w:pPr>
              <w:pStyle w:val="ListParagraph"/>
              <w:widowControl w:val="0"/>
              <w:numPr>
                <w:ilvl w:val="0"/>
                <w:numId w:val="36"/>
              </w:numPr>
              <w:spacing w:before="120" w:after="120" w:line="240" w:lineRule="auto"/>
              <w:ind w:left="586"/>
              <w:rPr>
                <w:rFonts w:ascii="Palatino Linotype" w:eastAsia="Palatino Linotype" w:hAnsi="Palatino Linotype" w:cs="Palatino Linotype"/>
              </w:rPr>
            </w:pPr>
            <w:r w:rsidRPr="00784315">
              <w:rPr>
                <w:rFonts w:ascii="Palatino Linotype" w:hAnsi="Palatino Linotype"/>
              </w:rPr>
              <w:t xml:space="preserve">Educators commit to meeting students where they are, moving them along a continuum of learning, and providing timely supports when needed; </w:t>
            </w:r>
          </w:p>
          <w:p w14:paraId="702AC8D5" w14:textId="77777777" w:rsidR="00117A3A" w:rsidRPr="00784315" w:rsidRDefault="00117A3A" w:rsidP="00117A3A">
            <w:pPr>
              <w:pStyle w:val="ListParagraph"/>
              <w:widowControl w:val="0"/>
              <w:numPr>
                <w:ilvl w:val="0"/>
                <w:numId w:val="36"/>
              </w:numPr>
              <w:spacing w:before="120" w:after="120" w:line="240" w:lineRule="auto"/>
              <w:ind w:left="586"/>
              <w:rPr>
                <w:rFonts w:ascii="Palatino Linotype" w:eastAsia="Palatino Linotype" w:hAnsi="Palatino Linotype" w:cs="Palatino Linotype"/>
              </w:rPr>
            </w:pPr>
            <w:r w:rsidRPr="00784315">
              <w:rPr>
                <w:rFonts w:ascii="Palatino Linotype" w:hAnsi="Palatino Linotype"/>
              </w:rPr>
              <w:t>Leadership invests in professional learning that builds educator efficacy;</w:t>
            </w:r>
          </w:p>
          <w:p w14:paraId="3467759C" w14:textId="77777777" w:rsidR="00117A3A" w:rsidRPr="00784315" w:rsidRDefault="00117A3A" w:rsidP="00117A3A">
            <w:pPr>
              <w:pStyle w:val="ListParagraph"/>
              <w:widowControl w:val="0"/>
              <w:numPr>
                <w:ilvl w:val="0"/>
                <w:numId w:val="36"/>
              </w:numPr>
              <w:spacing w:before="120" w:after="120" w:line="240" w:lineRule="auto"/>
              <w:ind w:left="586"/>
              <w:rPr>
                <w:rFonts w:ascii="Palatino Linotype" w:hAnsi="Palatino Linotype"/>
              </w:rPr>
            </w:pPr>
            <w:r w:rsidRPr="00784315">
              <w:rPr>
                <w:rFonts w:ascii="Palatino Linotype" w:hAnsi="Palatino Linotype"/>
              </w:rPr>
              <w:t>Educators at all levels implement a strong multi-tiered system of academic and behavioral supports that includes an EST which enhances the ability of educators to meet the needs of all learners</w:t>
            </w:r>
            <w:r>
              <w:rPr>
                <w:rFonts w:ascii="Palatino Linotype" w:hAnsi="Palatino Linotype"/>
              </w:rPr>
              <w:t>; and</w:t>
            </w:r>
          </w:p>
          <w:p w14:paraId="0017C09C" w14:textId="77777777" w:rsidR="00117A3A" w:rsidRPr="00784315" w:rsidRDefault="00117A3A" w:rsidP="000218D6">
            <w:pPr>
              <w:pStyle w:val="ListParagraph"/>
              <w:numPr>
                <w:ilvl w:val="0"/>
                <w:numId w:val="36"/>
              </w:numPr>
              <w:spacing w:before="120" w:after="3360" w:line="240" w:lineRule="auto"/>
              <w:ind w:left="590"/>
              <w:rPr>
                <w:rFonts w:ascii="Palatino Linotype" w:hAnsi="Palatino Linotype" w:cstheme="minorBidi"/>
              </w:rPr>
            </w:pPr>
            <w:r w:rsidRPr="00784315">
              <w:rPr>
                <w:rFonts w:ascii="Palatino Linotype" w:eastAsia="Palatino Linotype" w:hAnsi="Palatino Linotype" w:cs="Palatino Linotype"/>
              </w:rPr>
              <w:t>Assessments provide equitable access for students with diverse needs and backgrounds.</w:t>
            </w:r>
          </w:p>
        </w:tc>
        <w:tc>
          <w:tcPr>
            <w:tcW w:w="4680" w:type="dxa"/>
            <w:shd w:val="clear" w:color="auto" w:fill="auto"/>
            <w:tcMar>
              <w:top w:w="100" w:type="dxa"/>
              <w:left w:w="100" w:type="dxa"/>
              <w:bottom w:w="100" w:type="dxa"/>
              <w:right w:w="100" w:type="dxa"/>
            </w:tcMar>
          </w:tcPr>
          <w:p w14:paraId="2A44D978" w14:textId="77777777" w:rsidR="00117A3A" w:rsidRPr="008D6EF6" w:rsidRDefault="00117A3A" w:rsidP="00117A3A">
            <w:pPr>
              <w:widowControl w:val="0"/>
              <w:pBdr>
                <w:top w:val="nil"/>
                <w:left w:val="nil"/>
                <w:bottom w:val="nil"/>
                <w:right w:val="nil"/>
                <w:between w:val="nil"/>
              </w:pBdr>
              <w:spacing w:before="120" w:after="120"/>
              <w:contextualSpacing/>
              <w:rPr>
                <w:rFonts w:eastAsia="Palatino Linotype" w:cs="Palatino Linotype"/>
              </w:rPr>
            </w:pPr>
          </w:p>
        </w:tc>
      </w:tr>
    </w:tbl>
    <w:p w14:paraId="72609895" w14:textId="5A68C874" w:rsidR="00117A3A" w:rsidRDefault="00117A3A" w:rsidP="00C7356D">
      <w:pPr>
        <w:pStyle w:val="Heading1"/>
        <w:spacing w:before="120" w:after="120"/>
      </w:pPr>
      <w:r>
        <w:lastRenderedPageBreak/>
        <w:t>Resources</w:t>
      </w:r>
    </w:p>
    <w:p w14:paraId="384BCF19" w14:textId="77777777" w:rsidR="00117A3A" w:rsidRPr="00473E1C" w:rsidRDefault="00117A3A" w:rsidP="00916C31">
      <w:pPr>
        <w:pStyle w:val="Heading2"/>
        <w:spacing w:after="120"/>
      </w:pPr>
      <w:r>
        <w:t>Clear Vision for Teaching and Learning</w:t>
      </w:r>
    </w:p>
    <w:p w14:paraId="4F54B764" w14:textId="6B3E728E" w:rsidR="00117A3A" w:rsidRPr="00542504" w:rsidRDefault="003701B7" w:rsidP="00916C31">
      <w:pPr>
        <w:spacing w:before="120" w:after="120" w:line="252" w:lineRule="auto"/>
        <w:rPr>
          <w:rStyle w:val="Hyperlink"/>
          <w:rFonts w:eastAsia="Palatino Linotype" w:cs="Palatino Linotype"/>
          <w:bCs w:val="0"/>
          <w:color w:val="0000FF"/>
        </w:rPr>
      </w:pPr>
      <w:hyperlink r:id="rId11" w:anchor="pog" w:history="1">
        <w:r w:rsidR="00117A3A" w:rsidRPr="008A0009">
          <w:rPr>
            <w:rStyle w:val="Hyperlink"/>
            <w:rFonts w:cs="Calibri"/>
            <w:shd w:val="clear" w:color="auto" w:fill="FFFFFF"/>
          </w:rPr>
          <w:t>A Vermont Portrait of a Graduate</w:t>
        </w:r>
        <w:r w:rsidR="00117A3A" w:rsidRPr="00117A3A">
          <w:rPr>
            <w:rStyle w:val="Hyperlink"/>
            <w:rFonts w:cs="Calibri"/>
            <w:color w:val="auto"/>
            <w:u w:val="none"/>
            <w:shd w:val="clear" w:color="auto" w:fill="FFFFFF"/>
          </w:rPr>
          <w:t xml:space="preserve"> </w:t>
        </w:r>
        <w:r w:rsidR="00117A3A" w:rsidRPr="006F21C9">
          <w:rPr>
            <w:rStyle w:val="Hyperlink"/>
            <w:rFonts w:cs="Calibri"/>
            <w:color w:val="auto"/>
            <w:u w:val="none"/>
            <w:shd w:val="clear" w:color="auto" w:fill="FFFFFF"/>
          </w:rPr>
          <w:t>(</w:t>
        </w:r>
      </w:hyperlink>
      <w:r w:rsidR="00117A3A" w:rsidRPr="00542504">
        <w:rPr>
          <w:color w:val="333333"/>
          <w:shd w:val="clear" w:color="auto" w:fill="FFFFFF"/>
        </w:rPr>
        <w:t>PoG) clarifies the expectations for College and Career Readiness as described in the Vermont Education Quality Standards. It specifies the cognitive, personal, and interpersonal skills and abilities that students should be able to demonstrate upon graduation.</w:t>
      </w:r>
    </w:p>
    <w:p w14:paraId="000C51D9" w14:textId="316907E0" w:rsidR="00117A3A" w:rsidRDefault="003701B7" w:rsidP="00916C31">
      <w:pPr>
        <w:spacing w:before="120" w:after="120" w:line="252" w:lineRule="auto"/>
        <w:rPr>
          <w:rFonts w:ascii="Lato" w:hAnsi="Lato"/>
          <w:color w:val="333333"/>
          <w:sz w:val="27"/>
          <w:szCs w:val="27"/>
          <w:shd w:val="clear" w:color="auto" w:fill="FFFFFF"/>
        </w:rPr>
      </w:pPr>
      <w:hyperlink r:id="rId12" w:history="1">
        <w:r w:rsidR="00117A3A" w:rsidRPr="00380CF5">
          <w:rPr>
            <w:rStyle w:val="Hyperlink"/>
            <w:rFonts w:eastAsia="Palatino Linotype" w:cs="Palatino Linotype"/>
            <w:bCs w:val="0"/>
          </w:rPr>
          <w:t>Proficiency-Based Graduation Requirements</w:t>
        </w:r>
      </w:hyperlink>
      <w:r w:rsidR="004A2653">
        <w:rPr>
          <w:rStyle w:val="Hyperlink"/>
          <w:rFonts w:eastAsia="Palatino Linotype" w:cs="Palatino Linotype"/>
          <w:bCs w:val="0"/>
          <w:u w:val="none"/>
        </w:rPr>
        <w:t xml:space="preserve"> </w:t>
      </w:r>
      <w:r w:rsidR="00117A3A" w:rsidRPr="00380CF5">
        <w:rPr>
          <w:color w:val="333333"/>
          <w:shd w:val="clear" w:color="auto" w:fill="FFFFFF"/>
        </w:rPr>
        <w:t>(PBGRs) are the locally-delineated set of content knowledge and skills connected to state standards that, when supplemented with any additional locally-developed requirements, have been determined to qualify a student for earning a high school diploma</w:t>
      </w:r>
      <w:r w:rsidR="00117A3A">
        <w:rPr>
          <w:rFonts w:ascii="Lato" w:hAnsi="Lato"/>
          <w:color w:val="333333"/>
          <w:sz w:val="27"/>
          <w:szCs w:val="27"/>
          <w:shd w:val="clear" w:color="auto" w:fill="FFFFFF"/>
        </w:rPr>
        <w:t>.</w:t>
      </w:r>
    </w:p>
    <w:p w14:paraId="73AC8F20" w14:textId="69E91684" w:rsidR="00117A3A" w:rsidRPr="00475169" w:rsidRDefault="003701B7" w:rsidP="00916C31">
      <w:pPr>
        <w:spacing w:before="120" w:after="120" w:line="252" w:lineRule="auto"/>
        <w:rPr>
          <w:rFonts w:ascii="Lato" w:hAnsi="Lato"/>
          <w:color w:val="333333"/>
          <w:sz w:val="27"/>
          <w:szCs w:val="27"/>
          <w:shd w:val="clear" w:color="auto" w:fill="FFFFFF"/>
        </w:rPr>
      </w:pPr>
      <w:hyperlink r:id="rId13">
        <w:r w:rsidR="00117A3A" w:rsidRPr="00475169">
          <w:rPr>
            <w:rStyle w:val="Hyperlink"/>
            <w:rFonts w:eastAsia="Palatino Linotype" w:cs="Palatino Linotype"/>
          </w:rPr>
          <w:t>The Creating a Theory of Action Tool</w:t>
        </w:r>
      </w:hyperlink>
      <w:r w:rsidR="004A2653">
        <w:rPr>
          <w:rStyle w:val="Hyperlink"/>
          <w:rFonts w:eastAsia="Palatino Linotype" w:cs="Palatino Linotype"/>
          <w:u w:val="none"/>
        </w:rPr>
        <w:t xml:space="preserve"> </w:t>
      </w:r>
      <w:r w:rsidR="00117A3A" w:rsidRPr="00475169">
        <w:rPr>
          <w:color w:val="313131"/>
          <w:shd w:val="clear" w:color="auto" w:fill="FFFFFF"/>
        </w:rPr>
        <w:t xml:space="preserve">helps educators develop a rationale behind the strategies they choose and articulate the thinking behind their decisions. </w:t>
      </w:r>
    </w:p>
    <w:p w14:paraId="3DFBBFA7" w14:textId="7A8A0299" w:rsidR="00117A3A" w:rsidRPr="004A2653" w:rsidRDefault="003701B7" w:rsidP="00916C31">
      <w:pPr>
        <w:pStyle w:val="BodyText"/>
        <w:spacing w:before="120" w:after="120" w:line="252" w:lineRule="auto"/>
        <w:ind w:right="288"/>
        <w:rPr>
          <w:rStyle w:val="Hyperlink"/>
          <w:rFonts w:cs="Palatino Linotype"/>
          <w:b w:val="0"/>
          <w:bCs w:val="0"/>
          <w:color w:val="auto"/>
          <w:u w:val="none"/>
        </w:rPr>
      </w:pPr>
      <w:hyperlink r:id="rId14">
        <w:r w:rsidR="00117A3A" w:rsidRPr="004A2653">
          <w:rPr>
            <w:rStyle w:val="Hyperlink"/>
            <w:rFonts w:eastAsia="Arial" w:cs="Arial"/>
            <w:b w:val="0"/>
            <w:bCs w:val="0"/>
            <w:color w:val="0000FF"/>
            <w:lang w:val="en"/>
          </w:rPr>
          <w:t>Vermont Comprehensive Needs Assessment Toolkit</w:t>
        </w:r>
      </w:hyperlink>
      <w:r w:rsidR="004A2653" w:rsidRPr="004A2653">
        <w:rPr>
          <w:rStyle w:val="Hyperlink"/>
          <w:rFonts w:eastAsia="Arial" w:cs="Arial"/>
          <w:b w:val="0"/>
          <w:bCs w:val="0"/>
          <w:color w:val="0000FF"/>
          <w:u w:val="none"/>
          <w:lang w:val="en"/>
        </w:rPr>
        <w:t xml:space="preserve"> </w:t>
      </w:r>
      <w:r w:rsidR="00117A3A" w:rsidRPr="004A2653">
        <w:rPr>
          <w:b w:val="0"/>
          <w:bCs w:val="0"/>
        </w:rPr>
        <w:t>leads to the identification of specific and measurable goals for improvement and high-leverage change ideas to achieve them.</w:t>
      </w:r>
    </w:p>
    <w:p w14:paraId="50E54C25" w14:textId="4B186217" w:rsidR="00117A3A" w:rsidRPr="000F0325" w:rsidRDefault="00117A3A" w:rsidP="00916C31">
      <w:pPr>
        <w:pStyle w:val="Heading2"/>
        <w:spacing w:after="120"/>
      </w:pPr>
      <w:r w:rsidRPr="00C3632C">
        <w:t>Design for Rigor</w:t>
      </w:r>
    </w:p>
    <w:p w14:paraId="07A6FB24" w14:textId="3B4AA4D2" w:rsidR="00117A3A" w:rsidRPr="00B8759F" w:rsidRDefault="003701B7" w:rsidP="00916C31">
      <w:pPr>
        <w:widowControl w:val="0"/>
        <w:spacing w:before="120" w:after="120" w:line="252" w:lineRule="auto"/>
        <w:rPr>
          <w:rFonts w:eastAsia="Palatino Linotype" w:cs="Palatino Linotype"/>
          <w:sz w:val="20"/>
          <w:szCs w:val="20"/>
        </w:rPr>
      </w:pPr>
      <w:hyperlink r:id="rId15">
        <w:r w:rsidR="00117A3A" w:rsidRPr="002C7B89">
          <w:rPr>
            <w:rStyle w:val="Hyperlink"/>
            <w:rFonts w:eastAsia="Palatino Linotype" w:cs="Palatino Linotype"/>
          </w:rPr>
          <w:t xml:space="preserve">State and Local Assessment </w:t>
        </w:r>
        <w:r w:rsidR="004A2653">
          <w:rPr>
            <w:rStyle w:val="Hyperlink"/>
            <w:rFonts w:eastAsia="Palatino Linotype" w:cs="Palatino Linotype"/>
          </w:rPr>
          <w:t>-</w:t>
        </w:r>
        <w:r w:rsidR="00117A3A" w:rsidRPr="002C7B89">
          <w:rPr>
            <w:rStyle w:val="Hyperlink"/>
            <w:rFonts w:eastAsia="Palatino Linotype" w:cs="Palatino Linotype"/>
          </w:rPr>
          <w:t xml:space="preserve"> Vermont Agency of Education</w:t>
        </w:r>
      </w:hyperlink>
      <w:r w:rsidR="00117A3A" w:rsidRPr="002C7B89">
        <w:rPr>
          <w:rStyle w:val="Hyperlink"/>
          <w:rFonts w:eastAsia="Palatino Linotype" w:cs="Palatino Linotype"/>
          <w:color w:val="auto"/>
          <w:u w:val="none"/>
        </w:rPr>
        <w:t xml:space="preserve"> page has numerous resources to support the development of rigorous assessment systems.</w:t>
      </w:r>
    </w:p>
    <w:p w14:paraId="2E10CB5F" w14:textId="77777777" w:rsidR="00117A3A" w:rsidRPr="00FF66BD" w:rsidRDefault="003701B7" w:rsidP="00916C31">
      <w:pPr>
        <w:widowControl w:val="0"/>
        <w:spacing w:before="120" w:after="120" w:line="252" w:lineRule="auto"/>
        <w:rPr>
          <w:rFonts w:eastAsia="Palatino Linotype" w:cs="Palatino Linotype"/>
          <w:color w:val="0000FF" w:themeColor="hyperlink"/>
          <w:u w:val="single"/>
        </w:rPr>
      </w:pPr>
      <w:hyperlink r:id="rId16" w:anchor=".XaitRJJKi1s">
        <w:r w:rsidR="00117A3A" w:rsidRPr="003D0535">
          <w:rPr>
            <w:rStyle w:val="Hyperlink"/>
            <w:rFonts w:eastAsia="Palatino Linotype" w:cs="Palatino Linotype"/>
          </w:rPr>
          <w:t>Universal Design for Learning</w:t>
        </w:r>
      </w:hyperlink>
      <w:r w:rsidR="00117A3A">
        <w:rPr>
          <w:rStyle w:val="Hyperlink"/>
          <w:rFonts w:eastAsia="Palatino Linotype" w:cs="Palatino Linotype"/>
          <w:color w:val="auto"/>
          <w:u w:val="none"/>
        </w:rPr>
        <w:t xml:space="preserve"> (UDL) is a framework for improving and optimizing teaching and learner for all people based on scientific insights into how humans learn.</w:t>
      </w:r>
    </w:p>
    <w:p w14:paraId="7EAB5638" w14:textId="77777777" w:rsidR="00117A3A" w:rsidRPr="00FF66BD" w:rsidRDefault="00117A3A" w:rsidP="00916C31">
      <w:pPr>
        <w:pStyle w:val="Heading2"/>
        <w:spacing w:after="120"/>
        <w:rPr>
          <w:rStyle w:val="Hyperlink"/>
          <w:rFonts w:cs="Calibri"/>
          <w:color w:val="auto"/>
          <w:szCs w:val="24"/>
          <w:u w:val="none"/>
        </w:rPr>
      </w:pPr>
      <w:r w:rsidRPr="00B82636">
        <w:t>Assessment Inventory</w:t>
      </w:r>
    </w:p>
    <w:p w14:paraId="0E179656" w14:textId="77777777" w:rsidR="00117A3A" w:rsidRDefault="003701B7" w:rsidP="00916C31">
      <w:pPr>
        <w:widowControl w:val="0"/>
        <w:pBdr>
          <w:top w:val="nil"/>
          <w:left w:val="nil"/>
          <w:bottom w:val="nil"/>
          <w:right w:val="nil"/>
          <w:between w:val="nil"/>
        </w:pBdr>
        <w:spacing w:before="120" w:after="120" w:line="252" w:lineRule="auto"/>
      </w:pPr>
      <w:hyperlink r:id="rId17" w:history="1">
        <w:r w:rsidR="00117A3A" w:rsidRPr="002C7B89">
          <w:rPr>
            <w:rStyle w:val="Hyperlink"/>
            <w:rFonts w:eastAsia="Palatino Linotype" w:cs="Palatino Linotype"/>
            <w:lang w:val="en"/>
          </w:rPr>
          <w:t>Not as Easy as It Sounds: Designing a Balanced Assessment System</w:t>
        </w:r>
      </w:hyperlink>
      <w:r w:rsidR="00117A3A" w:rsidRPr="002C7B89">
        <w:rPr>
          <w:rFonts w:eastAsia="Palatino Linotype" w:cs="Palatino Linotype"/>
          <w:lang w:val="en"/>
        </w:rPr>
        <w:t xml:space="preserve"> offers </w:t>
      </w:r>
      <w:r w:rsidR="00117A3A" w:rsidRPr="002C7B89">
        <w:t>three criteria to look for within a balanced assessment system: coherence, a theory of action, and efficiency.</w:t>
      </w:r>
    </w:p>
    <w:p w14:paraId="25031C9F" w14:textId="4BED32A0" w:rsidR="00117A3A" w:rsidRPr="003E7E78" w:rsidRDefault="003701B7" w:rsidP="00916C31">
      <w:pPr>
        <w:spacing w:before="120" w:after="120" w:line="252" w:lineRule="auto"/>
        <w:rPr>
          <w:rStyle w:val="Hyperlink"/>
          <w:rFonts w:cs="Calibri"/>
          <w:color w:val="auto"/>
          <w:u w:val="none"/>
        </w:rPr>
      </w:pPr>
      <w:hyperlink r:id="rId18" w:history="1">
        <w:r w:rsidR="00117A3A">
          <w:rPr>
            <w:rStyle w:val="Hyperlink"/>
            <w:rFonts w:eastAsia="Palatino Linotype" w:cs="Palatino Linotype"/>
            <w:lang w:val="en"/>
          </w:rPr>
          <w:t>The S</w:t>
        </w:r>
        <w:r w:rsidR="00117A3A" w:rsidRPr="00F17FB0">
          <w:rPr>
            <w:rStyle w:val="Hyperlink"/>
            <w:rFonts w:eastAsia="Palatino Linotype" w:cs="Palatino Linotype"/>
            <w:lang w:val="en"/>
          </w:rPr>
          <w:t>tudent Assessment Inventory for School Districts</w:t>
        </w:r>
      </w:hyperlink>
      <w:r w:rsidR="00117A3A" w:rsidRPr="00F17FB0">
        <w:rPr>
          <w:rFonts w:eastAsia="Palatino Linotype" w:cs="Palatino Linotype"/>
          <w:lang w:val="en"/>
        </w:rPr>
        <w:t xml:space="preserve"> </w:t>
      </w:r>
      <w:r w:rsidR="00117A3A" w:rsidRPr="004A2653">
        <w:t>is a tool district leaders can use to take stock of their assessments and assessment strategy, and do so from a student perspective.</w:t>
      </w:r>
    </w:p>
    <w:p w14:paraId="231D35DA" w14:textId="77777777" w:rsidR="00117A3A" w:rsidRPr="00B82636" w:rsidRDefault="00117A3A" w:rsidP="00916C31">
      <w:pPr>
        <w:pStyle w:val="Heading2"/>
        <w:spacing w:after="120"/>
      </w:pPr>
      <w:r w:rsidRPr="00B82636">
        <w:t>Assessment Literacy</w:t>
      </w:r>
    </w:p>
    <w:p w14:paraId="32A7A6DE" w14:textId="316C163A" w:rsidR="00117A3A" w:rsidRPr="004A2653" w:rsidRDefault="003701B7" w:rsidP="00916C31">
      <w:pPr>
        <w:widowControl w:val="0"/>
        <w:pBdr>
          <w:top w:val="nil"/>
          <w:left w:val="nil"/>
          <w:bottom w:val="nil"/>
          <w:right w:val="nil"/>
          <w:between w:val="nil"/>
        </w:pBdr>
        <w:spacing w:before="120" w:after="120" w:line="252" w:lineRule="auto"/>
        <w:rPr>
          <w:rFonts w:eastAsia="Palatino Linotype"/>
        </w:rPr>
      </w:pPr>
      <w:hyperlink r:id="rId19">
        <w:r w:rsidR="00117A3A" w:rsidRPr="002C7426">
          <w:rPr>
            <w:rStyle w:val="Hyperlink"/>
            <w:rFonts w:eastAsia="Palatino Linotype" w:cs="Palatino Linotype"/>
          </w:rPr>
          <w:t>Assessments that Support Equity</w:t>
        </w:r>
      </w:hyperlink>
      <w:r w:rsidR="00117A3A" w:rsidRPr="008D7C29">
        <w:rPr>
          <w:rStyle w:val="Hyperlink"/>
          <w:rFonts w:eastAsia="Palatino Linotype" w:cs="Palatino Linotype"/>
          <w:color w:val="auto"/>
          <w:u w:val="none"/>
        </w:rPr>
        <w:t xml:space="preserve"> </w:t>
      </w:r>
      <w:r w:rsidR="00117A3A" w:rsidRPr="004A2653">
        <w:rPr>
          <w:rFonts w:eastAsia="Palatino Linotype"/>
        </w:rPr>
        <w:t xml:space="preserve">focuses on </w:t>
      </w:r>
      <w:r w:rsidR="00117A3A" w:rsidRPr="004A2653">
        <w:t>strategies to encourage progress rather than measuring what is already known.</w:t>
      </w:r>
    </w:p>
    <w:p w14:paraId="340E9C6D" w14:textId="77777777" w:rsidR="00117A3A" w:rsidRPr="008D7C29" w:rsidRDefault="003701B7" w:rsidP="00916C31">
      <w:pPr>
        <w:widowControl w:val="0"/>
        <w:spacing w:before="120" w:after="120" w:line="252" w:lineRule="auto"/>
        <w:rPr>
          <w:shd w:val="clear" w:color="auto" w:fill="FFFFFF"/>
        </w:rPr>
      </w:pPr>
      <w:hyperlink r:id="rId20" w:history="1">
        <w:r w:rsidR="00117A3A" w:rsidRPr="008D7C29">
          <w:rPr>
            <w:rStyle w:val="Hyperlink"/>
            <w:rFonts w:eastAsia="Palatino Linotype" w:cs="Palatino Linotype"/>
          </w:rPr>
          <w:t>Assessment: The Bridge Between Teaching and Learning</w:t>
        </w:r>
      </w:hyperlink>
      <w:r w:rsidR="00117A3A" w:rsidRPr="008D7C29">
        <w:rPr>
          <w:rFonts w:eastAsia="Palatino Linotype" w:cs="Palatino Linotype"/>
        </w:rPr>
        <w:t xml:space="preserve"> discusses the essential role assessments play in determining what students have actually learned. </w:t>
      </w:r>
      <w:r w:rsidR="00117A3A" w:rsidRPr="008D7C29">
        <w:rPr>
          <w:shd w:val="clear" w:color="auto" w:fill="FFFFFF"/>
        </w:rPr>
        <w:t xml:space="preserve"> </w:t>
      </w:r>
    </w:p>
    <w:p w14:paraId="543CA18B" w14:textId="7641F191" w:rsidR="00117A3A" w:rsidRPr="008D7C29" w:rsidRDefault="003701B7" w:rsidP="00916C31">
      <w:pPr>
        <w:widowControl w:val="0"/>
        <w:pBdr>
          <w:top w:val="nil"/>
          <w:left w:val="nil"/>
          <w:bottom w:val="nil"/>
          <w:right w:val="nil"/>
          <w:between w:val="nil"/>
        </w:pBdr>
        <w:spacing w:before="120" w:after="120" w:line="252" w:lineRule="auto"/>
        <w:rPr>
          <w:color w:val="0000FF"/>
        </w:rPr>
      </w:pPr>
      <w:hyperlink r:id="rId21">
        <w:r w:rsidR="00117A3A" w:rsidRPr="008D7C29">
          <w:rPr>
            <w:rStyle w:val="Hyperlink"/>
            <w:rFonts w:eastAsia="Palatino Linotype" w:cs="Palatino Linotype"/>
            <w:color w:val="0000FF"/>
          </w:rPr>
          <w:t>Data Wise</w:t>
        </w:r>
      </w:hyperlink>
      <w:r w:rsidR="004A2653">
        <w:rPr>
          <w:rStyle w:val="Hyperlink"/>
          <w:rFonts w:eastAsia="Palatino Linotype" w:cs="Palatino Linotype"/>
          <w:color w:val="0000FF"/>
          <w:u w:val="none"/>
        </w:rPr>
        <w:t xml:space="preserve"> </w:t>
      </w:r>
      <w:r w:rsidR="00117A3A" w:rsidRPr="008D7C29">
        <w:rPr>
          <w:rFonts w:cs="Arial"/>
          <w:color w:val="1E1E1E"/>
          <w:shd w:val="clear" w:color="auto" w:fill="FFFFFF"/>
        </w:rPr>
        <w:t>shows how systematic and thoughtful examination of a wide range of data can be a catalyst for important schoolwide dialogue. </w:t>
      </w:r>
    </w:p>
    <w:p w14:paraId="7C116EDE" w14:textId="77777777" w:rsidR="00117A3A" w:rsidRPr="008D7C29" w:rsidRDefault="003701B7" w:rsidP="00916C31">
      <w:pPr>
        <w:widowControl w:val="0"/>
        <w:spacing w:before="120" w:after="120" w:line="252" w:lineRule="auto"/>
        <w:rPr>
          <w:rStyle w:val="Hyperlink"/>
          <w:rFonts w:eastAsia="Palatino Linotype" w:cs="Palatino Linotype"/>
        </w:rPr>
      </w:pPr>
      <w:hyperlink r:id="rId22" w:history="1">
        <w:r w:rsidR="00117A3A" w:rsidRPr="008D7C29">
          <w:rPr>
            <w:rStyle w:val="Hyperlink"/>
            <w:rFonts w:eastAsia="Palatino Linotype" w:cs="Palatino Linotype"/>
          </w:rPr>
          <w:t>The Annual Snapshot - Vermont Agency of Education</w:t>
        </w:r>
      </w:hyperlink>
      <w:r w:rsidR="00117A3A" w:rsidRPr="008D7C29">
        <w:rPr>
          <w:rStyle w:val="Hyperlink"/>
          <w:rFonts w:eastAsia="Palatino Linotype" w:cs="Palatino Linotype"/>
        </w:rPr>
        <w:t xml:space="preserve"> </w:t>
      </w:r>
      <w:r w:rsidR="00117A3A" w:rsidRPr="008D7C29">
        <w:rPr>
          <w:color w:val="333333"/>
          <w:shd w:val="clear" w:color="auto" w:fill="FFFFFF"/>
        </w:rPr>
        <w:t>is a quantitative look at school quality, measuring performance for schools, supervisory unions and school districts, and the state as a whole. </w:t>
      </w:r>
    </w:p>
    <w:p w14:paraId="31D17C30" w14:textId="77777777" w:rsidR="00117A3A" w:rsidRPr="008D7C29" w:rsidRDefault="003701B7" w:rsidP="00916C31">
      <w:pPr>
        <w:widowControl w:val="0"/>
        <w:spacing w:before="120" w:after="120" w:line="252" w:lineRule="auto"/>
        <w:rPr>
          <w:rFonts w:eastAsia="Palatino Linotype" w:cs="Palatino Linotype"/>
        </w:rPr>
      </w:pPr>
      <w:hyperlink r:id="rId23">
        <w:r w:rsidR="00117A3A" w:rsidRPr="008D7C29">
          <w:rPr>
            <w:rStyle w:val="Hyperlink"/>
            <w:rFonts w:eastAsia="Palatino Linotype" w:cs="Palatino Linotype"/>
            <w:color w:val="0000FF"/>
          </w:rPr>
          <w:t>Threshold Concept: Building Capacity for Assessment Literacy in Personalized, Competency-Based Education</w:t>
        </w:r>
      </w:hyperlink>
      <w:r w:rsidR="00117A3A" w:rsidRPr="008D7C29">
        <w:rPr>
          <w:rStyle w:val="Hyperlink"/>
          <w:rFonts w:eastAsia="Palatino Linotype" w:cs="Palatino Linotype"/>
          <w:color w:val="auto"/>
          <w:u w:val="none"/>
        </w:rPr>
        <w:t xml:space="preserve"> provides a variety of resources for supporting the understanding of assessment literacy.</w:t>
      </w:r>
    </w:p>
    <w:p w14:paraId="35556CF9" w14:textId="77777777" w:rsidR="00117A3A" w:rsidRDefault="00117A3A" w:rsidP="00916C31">
      <w:pPr>
        <w:pStyle w:val="Heading2"/>
        <w:spacing w:after="120"/>
      </w:pPr>
      <w:r w:rsidRPr="005F0386">
        <w:t>Personalized Learning Plans</w:t>
      </w:r>
    </w:p>
    <w:p w14:paraId="294269AB" w14:textId="5B07E515" w:rsidR="00117A3A" w:rsidRDefault="003701B7" w:rsidP="00916C31">
      <w:pPr>
        <w:widowControl w:val="0"/>
        <w:pBdr>
          <w:top w:val="nil"/>
          <w:left w:val="nil"/>
          <w:bottom w:val="nil"/>
          <w:right w:val="nil"/>
          <w:between w:val="nil"/>
        </w:pBdr>
        <w:spacing w:before="120" w:after="120" w:line="252" w:lineRule="auto"/>
      </w:pPr>
      <w:hyperlink r:id="rId24" w:history="1">
        <w:r w:rsidR="00117A3A" w:rsidRPr="0039156D">
          <w:rPr>
            <w:rStyle w:val="Hyperlink"/>
            <w:rFonts w:cs="Calibri"/>
          </w:rPr>
          <w:t>Personalized Learning Plan Manual</w:t>
        </w:r>
      </w:hyperlink>
      <w:r w:rsidR="00117A3A" w:rsidRPr="0039156D">
        <w:t xml:space="preserve"> offers guidelines, strategies, resources, and tools to assist district administrators, school leaders, and educators working to implement the Personalized Learning Planning (PLP) process.</w:t>
      </w:r>
    </w:p>
    <w:p w14:paraId="0763A0EB" w14:textId="77777777" w:rsidR="00F230E1" w:rsidRDefault="003701B7" w:rsidP="00916C31">
      <w:pPr>
        <w:widowControl w:val="0"/>
        <w:pBdr>
          <w:top w:val="nil"/>
          <w:left w:val="nil"/>
          <w:bottom w:val="nil"/>
          <w:right w:val="nil"/>
          <w:between w:val="nil"/>
        </w:pBdr>
        <w:spacing w:before="120" w:after="120" w:line="252" w:lineRule="auto"/>
      </w:pPr>
      <w:hyperlink r:id="rId25" w:anchor="self-paced" w:history="1">
        <w:r w:rsidR="00117A3A" w:rsidRPr="004A2653">
          <w:rPr>
            <w:rStyle w:val="Hyperlink"/>
            <w:rFonts w:cs="Calibri"/>
          </w:rPr>
          <w:t>Self-Paced Course: Practices in Personalized, Proficiency-Based Learning</w:t>
        </w:r>
      </w:hyperlink>
      <w:r w:rsidR="00117A3A">
        <w:t xml:space="preserve"> </w:t>
      </w:r>
      <w:r w:rsidR="00117A3A" w:rsidRPr="004A0C70">
        <w:t>provide</w:t>
      </w:r>
      <w:r w:rsidR="00117A3A">
        <w:t>s</w:t>
      </w:r>
      <w:r w:rsidR="00117A3A" w:rsidRPr="004A0C70">
        <w:t xml:space="preserve"> an overview of a set of key practices in personalized, proficiency-based learning; invite</w:t>
      </w:r>
      <w:r w:rsidR="00117A3A">
        <w:t>s</w:t>
      </w:r>
      <w:r w:rsidR="00117A3A" w:rsidRPr="004A0C70">
        <w:t xml:space="preserve"> reflection and discussion about considerations for key practices in personalized, proficiency-based learning; and provide</w:t>
      </w:r>
      <w:r w:rsidR="00117A3A">
        <w:t>s</w:t>
      </w:r>
      <w:r w:rsidR="00117A3A" w:rsidRPr="004A0C70">
        <w:t xml:space="preserve"> examples and opportunities to engage with key practices in personalized, proficiency-based learning. </w:t>
      </w:r>
    </w:p>
    <w:p w14:paraId="407E022B" w14:textId="1420FA37" w:rsidR="00117A3A" w:rsidRPr="00F230E1" w:rsidRDefault="00117A3A" w:rsidP="00916C31">
      <w:pPr>
        <w:pStyle w:val="Heading2"/>
        <w:spacing w:after="120"/>
      </w:pPr>
      <w:r w:rsidRPr="00784315">
        <w:t>A Culture of High Expectations</w:t>
      </w:r>
    </w:p>
    <w:p w14:paraId="3D25EFE2" w14:textId="77777777" w:rsidR="00117A3A" w:rsidRDefault="003701B7" w:rsidP="00916C31">
      <w:pPr>
        <w:spacing w:before="120" w:after="120" w:line="252" w:lineRule="auto"/>
        <w:rPr>
          <w:rFonts w:cs="Arial"/>
          <w:color w:val="666666"/>
          <w:shd w:val="clear" w:color="auto" w:fill="FFFFFF"/>
        </w:rPr>
      </w:pPr>
      <w:hyperlink r:id="rId26" w:history="1">
        <w:r w:rsidR="00117A3A" w:rsidRPr="00EB353C">
          <w:rPr>
            <w:rStyle w:val="Hyperlink"/>
            <w:rFonts w:eastAsia="Palatino Linotype" w:cs="Palatino Linotype"/>
          </w:rPr>
          <w:t>Confronting Inequity/Assessment for Equity</w:t>
        </w:r>
      </w:hyperlink>
      <w:r w:rsidR="00117A3A">
        <w:rPr>
          <w:rStyle w:val="Hyperlink"/>
          <w:rFonts w:eastAsia="Palatino Linotype" w:cs="Palatino Linotype"/>
          <w:color w:val="auto"/>
          <w:u w:val="none"/>
        </w:rPr>
        <w:t xml:space="preserve"> </w:t>
      </w:r>
      <w:r w:rsidR="00117A3A" w:rsidRPr="0077795B">
        <w:rPr>
          <w:rStyle w:val="Hyperlink"/>
          <w:rFonts w:eastAsia="Palatino Linotype" w:cs="Palatino Linotype"/>
          <w:color w:val="auto"/>
          <w:u w:val="none"/>
        </w:rPr>
        <w:t xml:space="preserve">explains how </w:t>
      </w:r>
      <w:r w:rsidR="00117A3A" w:rsidRPr="00F230E1">
        <w:rPr>
          <w:rStyle w:val="Hyperlink"/>
          <w:rFonts w:eastAsia="Palatino Linotype" w:cs="Palatino Linotype"/>
          <w:color w:val="auto"/>
          <w:u w:val="none"/>
        </w:rPr>
        <w:t>a</w:t>
      </w:r>
      <w:r w:rsidR="00117A3A" w:rsidRPr="00F230E1">
        <w:rPr>
          <w:rFonts w:cs="Arial"/>
          <w:shd w:val="clear" w:color="auto" w:fill="FFFFFF"/>
        </w:rPr>
        <w:t>ssessment should help us learn about students rather than sort them.</w:t>
      </w:r>
    </w:p>
    <w:p w14:paraId="3C89D403" w14:textId="77777777" w:rsidR="00117A3A" w:rsidRDefault="003701B7" w:rsidP="00916C31">
      <w:pPr>
        <w:pStyle w:val="Heading1"/>
        <w:spacing w:before="120" w:after="120" w:line="252" w:lineRule="auto"/>
        <w:rPr>
          <w:rFonts w:ascii="Palatino Linotype" w:hAnsi="Palatino Linotype" w:cs="Arial"/>
          <w:color w:val="231F20"/>
          <w:sz w:val="22"/>
        </w:rPr>
      </w:pPr>
      <w:hyperlink r:id="rId27" w:history="1">
        <w:r w:rsidR="00117A3A" w:rsidRPr="004E764F">
          <w:rPr>
            <w:rStyle w:val="Hyperlink"/>
            <w:rFonts w:ascii="Palatino Linotype" w:hAnsi="Palatino Linotype" w:cs="Arial"/>
            <w:sz w:val="22"/>
          </w:rPr>
          <w:t>Designing for Equity: Leveraging Competency-Based Education to Ensure All Students Succeed</w:t>
        </w:r>
      </w:hyperlink>
      <w:r w:rsidR="00117A3A" w:rsidRPr="004E764F">
        <w:rPr>
          <w:rFonts w:ascii="Palatino Linotype" w:hAnsi="Palatino Linotype" w:cs="Arial"/>
          <w:color w:val="231F20"/>
          <w:sz w:val="22"/>
        </w:rPr>
        <w:t xml:space="preserve"> offers equity strategies for personalized, competency-based education to ensure a more equitable K-12 education system that includes high expectations for all students. </w:t>
      </w:r>
    </w:p>
    <w:p w14:paraId="2BF86B55" w14:textId="2DFB3051" w:rsidR="003146A2" w:rsidRPr="00E34DF0" w:rsidRDefault="003701B7" w:rsidP="00916C31">
      <w:pPr>
        <w:spacing w:before="120" w:after="120" w:line="252" w:lineRule="auto"/>
      </w:pPr>
      <w:hyperlink r:id="rId28" w:history="1">
        <w:r w:rsidR="000F0325" w:rsidRPr="00801E9F">
          <w:rPr>
            <w:rStyle w:val="Hyperlink"/>
            <w:shd w:val="clear" w:color="auto" w:fill="FFFFFF"/>
          </w:rPr>
          <w:t>Essential Components for Ensuring Local Comprehensive Assessment Systems are Culturally Relevant and Equitable</w:t>
        </w:r>
      </w:hyperlink>
      <w:r w:rsidR="000F0325">
        <w:rPr>
          <w:rStyle w:val="Hyperlink"/>
          <w:u w:val="none"/>
          <w:shd w:val="clear" w:color="auto" w:fill="FFFFFF"/>
        </w:rPr>
        <w:t xml:space="preserve"> </w:t>
      </w:r>
      <w:r w:rsidR="000F0325" w:rsidRPr="005B5508">
        <w:rPr>
          <w:color w:val="333333"/>
          <w:shd w:val="clear" w:color="auto" w:fill="FFFFFF"/>
        </w:rPr>
        <w:t>provides multiple resources to educators to support refinement of their local comprehensive assessment systems (LCAS) to ensure that assessments are equitable and culturally relevant.</w:t>
      </w:r>
    </w:p>
    <w:p w14:paraId="0D00D016" w14:textId="77777777" w:rsidR="00117A3A" w:rsidRPr="00F30903" w:rsidRDefault="00117A3A" w:rsidP="00916C31">
      <w:pPr>
        <w:pStyle w:val="Heading1"/>
        <w:spacing w:after="120"/>
        <w:rPr>
          <w:rFonts w:eastAsia="Palatino Linotype"/>
        </w:rPr>
      </w:pPr>
      <w:r w:rsidRPr="00D04176">
        <w:rPr>
          <w:rFonts w:eastAsia="Palatino Linotype"/>
          <w:highlight w:val="white"/>
        </w:rPr>
        <w:t>References</w:t>
      </w:r>
    </w:p>
    <w:p w14:paraId="733B947C" w14:textId="77777777" w:rsidR="00117A3A" w:rsidRDefault="00117A3A" w:rsidP="00916C31">
      <w:pPr>
        <w:widowControl w:val="0"/>
        <w:spacing w:before="120" w:after="120" w:line="252" w:lineRule="auto"/>
        <w:rPr>
          <w:rFonts w:eastAsia="Palatino Linotype" w:cs="Palatino Linotype"/>
          <w:color w:val="333333"/>
        </w:rPr>
      </w:pPr>
      <w:r w:rsidRPr="008D6EF6">
        <w:rPr>
          <w:rFonts w:eastAsia="Palatino Linotype" w:cs="Palatino Linotype"/>
          <w:color w:val="333333"/>
          <w:highlight w:val="white"/>
        </w:rPr>
        <w:t xml:space="preserve">Darling-Hammond, L., Herman, J., Pellegrino, J., et al. (2013). Criteria for high-quality assessment. Stanford, CA: Stanford Center for Opportunity Policy in Education. </w:t>
      </w:r>
    </w:p>
    <w:p w14:paraId="077980D9" w14:textId="3B611C2D" w:rsidR="00117A3A" w:rsidRPr="00E522AD" w:rsidRDefault="003701B7" w:rsidP="00916C31">
      <w:pPr>
        <w:widowControl w:val="0"/>
        <w:spacing w:before="120" w:after="120" w:line="252" w:lineRule="auto"/>
        <w:rPr>
          <w:rFonts w:eastAsia="Palatino Linotype" w:cs="Palatino Linotype"/>
          <w:color w:val="333333"/>
        </w:rPr>
      </w:pPr>
      <w:hyperlink r:id="rId29" w:history="1">
        <w:r w:rsidR="00117A3A" w:rsidRPr="00E522AD">
          <w:rPr>
            <w:rStyle w:val="Hyperlink"/>
            <w:rFonts w:eastAsia="Palatino Linotype" w:cs="Palatino Linotype"/>
          </w:rPr>
          <w:t>Modernizing the Teaching Workforce for Learner</w:t>
        </w:r>
        <w:r w:rsidR="00117A3A" w:rsidRPr="00F93C9C">
          <w:rPr>
            <w:rStyle w:val="Hyperlink"/>
            <w:rFonts w:eastAsia="Palatino Linotype" w:cs="Palatino Linotype"/>
            <w:color w:val="0000FF"/>
          </w:rPr>
          <w:t>-Centered,</w:t>
        </w:r>
        <w:r w:rsidR="00117A3A" w:rsidRPr="00E522AD">
          <w:rPr>
            <w:rStyle w:val="Hyperlink"/>
            <w:rFonts w:eastAsia="Palatino Linotype" w:cs="Palatino Linotype"/>
          </w:rPr>
          <w:t xml:space="preserve"> Competency-Based, Equity-</w:t>
        </w:r>
        <w:r w:rsidR="00117A3A" w:rsidRPr="00F93C9C">
          <w:rPr>
            <w:rStyle w:val="Hyperlink"/>
            <w:rFonts w:eastAsia="Palatino Linotype" w:cs="Palatino Linotype"/>
            <w:color w:val="0000FF"/>
          </w:rPr>
          <w:t>Oriented</w:t>
        </w:r>
        <w:r w:rsidR="00117A3A" w:rsidRPr="00E522AD">
          <w:rPr>
            <w:rStyle w:val="Hyperlink"/>
            <w:rFonts w:eastAsia="Palatino Linotype" w:cs="Palatino Linotype"/>
          </w:rPr>
          <w:t xml:space="preserve"> Education</w:t>
        </w:r>
      </w:hyperlink>
    </w:p>
    <w:p w14:paraId="400C7F48" w14:textId="77777777" w:rsidR="00117A3A" w:rsidRDefault="003701B7" w:rsidP="00916C31">
      <w:pPr>
        <w:spacing w:before="120" w:after="120" w:line="252" w:lineRule="auto"/>
        <w:rPr>
          <w:rStyle w:val="Hyperlink"/>
          <w:rFonts w:eastAsia="Palatino Linotype" w:cs="Palatino Linotype"/>
        </w:rPr>
      </w:pPr>
      <w:hyperlink r:id="rId30" w:history="1">
        <w:r w:rsidR="00117A3A" w:rsidRPr="00472545">
          <w:rPr>
            <w:rStyle w:val="Hyperlink"/>
            <w:rFonts w:eastAsia="Palatino Linotype" w:cs="Palatino Linotype"/>
          </w:rPr>
          <w:t>Strengthening and Streamlining Local Comprehensive Assessment Systems: Guidelines and Support for Leadership Teams</w:t>
        </w:r>
      </w:hyperlink>
    </w:p>
    <w:p w14:paraId="31B9CF81" w14:textId="3C9F7287" w:rsidR="00781CCF" w:rsidRPr="00F230E1" w:rsidRDefault="003701B7" w:rsidP="00916C31">
      <w:pPr>
        <w:widowControl w:val="0"/>
        <w:spacing w:before="120" w:after="120" w:line="252" w:lineRule="auto"/>
        <w:rPr>
          <w:rFonts w:eastAsia="Palatino Linotype" w:cs="Palatino Linotype"/>
          <w:color w:val="0000FF" w:themeColor="hyperlink"/>
          <w:u w:val="single"/>
        </w:rPr>
      </w:pPr>
      <w:hyperlink r:id="rId31" w:history="1">
        <w:r w:rsidR="00117A3A" w:rsidRPr="00CD4B52">
          <w:rPr>
            <w:rStyle w:val="Hyperlink"/>
            <w:rFonts w:eastAsia="Palatino Linotype" w:cs="Palatino Linotype"/>
          </w:rPr>
          <w:t>VTmtss Field Guide</w:t>
        </w:r>
      </w:hyperlink>
    </w:p>
    <w:sectPr w:rsidR="00781CCF" w:rsidRPr="00F230E1" w:rsidSect="000218D6">
      <w:footerReference w:type="default" r:id="rId32"/>
      <w:headerReference w:type="first" r:id="rId33"/>
      <w:footerReference w:type="first" r:id="rId34"/>
      <w:pgSz w:w="15840" w:h="12240" w:orient="landscape"/>
      <w:pgMar w:top="63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C878" w14:textId="77777777" w:rsidR="003701B7" w:rsidRDefault="003701B7" w:rsidP="004062C7">
      <w:r>
        <w:separator/>
      </w:r>
    </w:p>
  </w:endnote>
  <w:endnote w:type="continuationSeparator" w:id="0">
    <w:p w14:paraId="4021988B" w14:textId="77777777" w:rsidR="003701B7" w:rsidRDefault="003701B7" w:rsidP="004062C7">
      <w:r>
        <w:continuationSeparator/>
      </w:r>
    </w:p>
  </w:endnote>
  <w:endnote w:type="continuationNotice" w:id="1">
    <w:p w14:paraId="0501AB95" w14:textId="77777777" w:rsidR="003701B7" w:rsidRDefault="00370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800"/>
      <w:gridCol w:w="4797"/>
      <w:gridCol w:w="4803"/>
    </w:tblGrid>
    <w:tr w:rsidR="00F27878" w14:paraId="3329713D" w14:textId="77777777" w:rsidTr="0054356D">
      <w:trPr>
        <w:trHeight w:val="633"/>
        <w:tblHeader/>
      </w:trPr>
      <w:tc>
        <w:tcPr>
          <w:tcW w:w="4808" w:type="dxa"/>
        </w:tcPr>
        <w:p w14:paraId="04BC66D7" w14:textId="6BBE93C0" w:rsidR="00F27878" w:rsidRPr="00937FFC" w:rsidRDefault="00117A3A" w:rsidP="00DE08DF">
          <w:pPr>
            <w:pStyle w:val="Footer"/>
          </w:pPr>
          <w:r>
            <w:t>Local Comprehensive Assessment System Quality Criteria Single Point Rubric</w:t>
          </w:r>
          <w:r w:rsidR="00F27878" w:rsidRPr="00937FFC">
            <w:t xml:space="preserve"> </w:t>
          </w:r>
          <w:r w:rsidR="00F27878" w:rsidRPr="00937FFC">
            <w:br/>
            <w:t xml:space="preserve">(Revised: </w:t>
          </w:r>
          <w:r w:rsidR="00C936C3">
            <w:t>April 19</w:t>
          </w:r>
          <w:r>
            <w:t>, 202</w:t>
          </w:r>
          <w:r w:rsidR="007C10A6">
            <w:t>1</w:t>
          </w:r>
          <w:r>
            <w:t>)</w:t>
          </w:r>
        </w:p>
      </w:tc>
      <w:tc>
        <w:tcPr>
          <w:tcW w:w="4808" w:type="dxa"/>
        </w:tcPr>
        <w:p w14:paraId="4AC1FB61" w14:textId="77777777" w:rsidR="00F27878" w:rsidRPr="006F21C9" w:rsidRDefault="00F27878" w:rsidP="00DE08DF">
          <w:pPr>
            <w:pStyle w:val="Footer"/>
            <w:jc w:val="center"/>
          </w:pPr>
          <w:r w:rsidRPr="006F21C9">
            <w:t xml:space="preserve">Page </w:t>
          </w:r>
          <w:r w:rsidRPr="006F21C9">
            <w:fldChar w:fldCharType="begin"/>
          </w:r>
          <w:r w:rsidRPr="006F21C9">
            <w:instrText xml:space="preserve"> PAGE  \* Arabic  \* MERGEFORMAT </w:instrText>
          </w:r>
          <w:r w:rsidRPr="006F21C9">
            <w:fldChar w:fldCharType="separate"/>
          </w:r>
          <w:r w:rsidRPr="006F21C9">
            <w:t>2</w:t>
          </w:r>
          <w:r w:rsidRPr="006F21C9">
            <w:fldChar w:fldCharType="end"/>
          </w:r>
          <w:r w:rsidRPr="006F21C9">
            <w:t xml:space="preserve"> of </w:t>
          </w:r>
          <w:r w:rsidR="003701B7">
            <w:fldChar w:fldCharType="begin"/>
          </w:r>
          <w:r w:rsidR="003701B7">
            <w:instrText xml:space="preserve"> NUMPAGES  \* Arabic  \* MERGEFORMAT </w:instrText>
          </w:r>
          <w:r w:rsidR="003701B7">
            <w:fldChar w:fldCharType="separate"/>
          </w:r>
          <w:r w:rsidRPr="006F21C9">
            <w:t>3</w:t>
          </w:r>
          <w:r w:rsidR="003701B7">
            <w:fldChar w:fldCharType="end"/>
          </w:r>
        </w:p>
      </w:tc>
      <w:tc>
        <w:tcPr>
          <w:tcW w:w="4809" w:type="dxa"/>
        </w:tcPr>
        <w:p w14:paraId="0ED597B3" w14:textId="77777777" w:rsidR="00F27878" w:rsidRPr="00937FFC" w:rsidRDefault="5E260A3F" w:rsidP="0005287E">
          <w:pPr>
            <w:pStyle w:val="Footer"/>
            <w:jc w:val="right"/>
            <w:rPr>
              <w:szCs w:val="18"/>
            </w:rPr>
          </w:pPr>
          <w:r>
            <w:rPr>
              <w:noProof/>
            </w:rPr>
            <w:drawing>
              <wp:inline distT="0" distB="0" distL="0" distR="0" wp14:anchorId="63935C02" wp14:editId="6FA7EF08">
                <wp:extent cx="1458349" cy="365760"/>
                <wp:effectExtent l="0" t="0" r="8890" b="0"/>
                <wp:docPr id="19" name="Picture 19"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inline>
            </w:drawing>
          </w:r>
        </w:p>
      </w:tc>
    </w:tr>
  </w:tbl>
  <w:p w14:paraId="57EA0860" w14:textId="77777777" w:rsidR="00F27878" w:rsidRPr="00E773E9" w:rsidRDefault="00F27878" w:rsidP="00DE08DF">
    <w:pPr>
      <w:pStyle w:val="Footer"/>
      <w:rPr>
        <w:sz w:val="4"/>
      </w:rPr>
    </w:pPr>
  </w:p>
  <w:p w14:paraId="48503533" w14:textId="77777777" w:rsidR="00796D5F" w:rsidRPr="00117A3A" w:rsidRDefault="00796D5F" w:rsidP="00DE08D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4480" w14:textId="77777777" w:rsidR="00B66234" w:rsidRDefault="00B66234" w:rsidP="00B66234">
    <w:pPr>
      <w:pStyle w:val="Heading1"/>
    </w:pPr>
    <w:r>
      <w:t>Contact Information:</w:t>
    </w:r>
    <w:r w:rsidR="001D11ED">
      <w:t xml:space="preserve"> </w:t>
    </w:r>
  </w:p>
  <w:p w14:paraId="63E0BF09" w14:textId="0D0BA772" w:rsidR="00B66234" w:rsidRDefault="00B66234" w:rsidP="00B66234">
    <w:r>
      <w:t>If you have questions about this document or would like additional information</w:t>
    </w:r>
    <w:r w:rsidR="00B460FE">
      <w:t>,</w:t>
    </w:r>
    <w:r>
      <w:t xml:space="preserve"> please contact:</w:t>
    </w:r>
  </w:p>
  <w:p w14:paraId="400DA29F" w14:textId="41E1C33C" w:rsidR="00B66234" w:rsidRPr="00B66234" w:rsidRDefault="00B460FE" w:rsidP="00B66234">
    <w:r>
      <w:t xml:space="preserve">Pat Fitzsimmons at </w:t>
    </w:r>
    <w:hyperlink r:id="rId1" w:history="1">
      <w:r w:rsidRPr="008E1CD7">
        <w:rPr>
          <w:rStyle w:val="Hyperlink"/>
          <w:rFonts w:cs="Calibri"/>
        </w:rPr>
        <w:t>pat.fitzsimmons@vermont.gov</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E412" w14:textId="77777777" w:rsidR="003701B7" w:rsidRDefault="003701B7" w:rsidP="004062C7">
      <w:r>
        <w:separator/>
      </w:r>
    </w:p>
  </w:footnote>
  <w:footnote w:type="continuationSeparator" w:id="0">
    <w:p w14:paraId="0191A7D6" w14:textId="77777777" w:rsidR="003701B7" w:rsidRDefault="003701B7" w:rsidP="004062C7">
      <w:r>
        <w:continuationSeparator/>
      </w:r>
    </w:p>
  </w:footnote>
  <w:footnote w:type="continuationNotice" w:id="1">
    <w:p w14:paraId="7D185C2F" w14:textId="77777777" w:rsidR="003701B7" w:rsidRDefault="003701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58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gridCol w:w="5580"/>
    </w:tblGrid>
    <w:tr w:rsidR="0005287E" w14:paraId="3520FE48" w14:textId="77777777" w:rsidTr="5E260A3F">
      <w:tc>
        <w:tcPr>
          <w:tcW w:w="9005" w:type="dxa"/>
        </w:tcPr>
        <w:p w14:paraId="03E87B82" w14:textId="77777777" w:rsidR="0005287E" w:rsidRDefault="5E260A3F" w:rsidP="0005287E">
          <w:pPr>
            <w:pStyle w:val="AOE-Header"/>
            <w:jc w:val="left"/>
            <w:rPr>
              <w:sz w:val="20"/>
              <w:szCs w:val="20"/>
            </w:rPr>
          </w:pPr>
          <w:bookmarkStart w:id="0" w:name="_Hlk24543830"/>
          <w:bookmarkStart w:id="1" w:name="_Hlk24543831"/>
          <w:r>
            <w:drawing>
              <wp:inline distT="0" distB="0" distL="0" distR="0" wp14:anchorId="01EA224E" wp14:editId="288BB4EA">
                <wp:extent cx="1576705" cy="411480"/>
                <wp:effectExtent l="0" t="0" r="4445" b="762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08D6D7C9" w14:textId="77777777" w:rsidR="0005287E" w:rsidRDefault="0005287E" w:rsidP="0005287E">
          <w:pPr>
            <w:pStyle w:val="AOE-Header"/>
            <w:jc w:val="left"/>
            <w:rPr>
              <w:sz w:val="20"/>
              <w:szCs w:val="20"/>
            </w:rPr>
          </w:pPr>
          <w:bookmarkStart w:id="2"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2"/>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0"/>
    <w:bookmarkEnd w:id="1"/>
  </w:tbl>
  <w:p w14:paraId="4DC7D5D7" w14:textId="77777777" w:rsidR="0005287E" w:rsidRPr="00B46917" w:rsidRDefault="0005287E" w:rsidP="0005287E">
    <w:pPr>
      <w:pStyle w:val="AOE-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5C063F"/>
    <w:multiLevelType w:val="hybridMultilevel"/>
    <w:tmpl w:val="B308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13993"/>
    <w:multiLevelType w:val="hybridMultilevel"/>
    <w:tmpl w:val="EA3C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63BF8"/>
    <w:multiLevelType w:val="hybridMultilevel"/>
    <w:tmpl w:val="992A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26514F7"/>
    <w:multiLevelType w:val="hybridMultilevel"/>
    <w:tmpl w:val="CE4246F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6"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0E42C2"/>
    <w:multiLevelType w:val="hybridMultilevel"/>
    <w:tmpl w:val="BCE65F6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0"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2" w15:restartNumberingAfterBreak="0">
    <w:nsid w:val="74C61698"/>
    <w:multiLevelType w:val="hybridMultilevel"/>
    <w:tmpl w:val="F40A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1"/>
  </w:num>
  <w:num w:numId="2">
    <w:abstractNumId w:val="17"/>
  </w:num>
  <w:num w:numId="3">
    <w:abstractNumId w:val="29"/>
  </w:num>
  <w:num w:numId="4">
    <w:abstractNumId w:val="24"/>
  </w:num>
  <w:num w:numId="5">
    <w:abstractNumId w:val="25"/>
  </w:num>
  <w:num w:numId="6">
    <w:abstractNumId w:val="8"/>
  </w:num>
  <w:num w:numId="7">
    <w:abstractNumId w:val="1"/>
  </w:num>
  <w:num w:numId="8">
    <w:abstractNumId w:val="18"/>
  </w:num>
  <w:num w:numId="9">
    <w:abstractNumId w:val="23"/>
  </w:num>
  <w:num w:numId="10">
    <w:abstractNumId w:val="33"/>
  </w:num>
  <w:num w:numId="11">
    <w:abstractNumId w:val="21"/>
  </w:num>
  <w:num w:numId="12">
    <w:abstractNumId w:val="11"/>
  </w:num>
  <w:num w:numId="13">
    <w:abstractNumId w:val="35"/>
  </w:num>
  <w:num w:numId="14">
    <w:abstractNumId w:val="12"/>
  </w:num>
  <w:num w:numId="15">
    <w:abstractNumId w:val="34"/>
  </w:num>
  <w:num w:numId="16">
    <w:abstractNumId w:val="5"/>
  </w:num>
  <w:num w:numId="17">
    <w:abstractNumId w:val="9"/>
  </w:num>
  <w:num w:numId="18">
    <w:abstractNumId w:val="22"/>
  </w:num>
  <w:num w:numId="19">
    <w:abstractNumId w:val="26"/>
  </w:num>
  <w:num w:numId="20">
    <w:abstractNumId w:val="15"/>
  </w:num>
  <w:num w:numId="21">
    <w:abstractNumId w:val="16"/>
  </w:num>
  <w:num w:numId="22">
    <w:abstractNumId w:val="13"/>
  </w:num>
  <w:num w:numId="23">
    <w:abstractNumId w:val="2"/>
  </w:num>
  <w:num w:numId="24">
    <w:abstractNumId w:val="30"/>
  </w:num>
  <w:num w:numId="25">
    <w:abstractNumId w:val="2"/>
  </w:num>
  <w:num w:numId="26">
    <w:abstractNumId w:val="3"/>
  </w:num>
  <w:num w:numId="27">
    <w:abstractNumId w:val="27"/>
  </w:num>
  <w:num w:numId="28">
    <w:abstractNumId w:val="28"/>
  </w:num>
  <w:num w:numId="29">
    <w:abstractNumId w:val="20"/>
  </w:num>
  <w:num w:numId="30">
    <w:abstractNumId w:val="10"/>
  </w:num>
  <w:num w:numId="31">
    <w:abstractNumId w:val="0"/>
  </w:num>
  <w:num w:numId="32">
    <w:abstractNumId w:val="6"/>
  </w:num>
  <w:num w:numId="33">
    <w:abstractNumId w:val="19"/>
  </w:num>
  <w:num w:numId="34">
    <w:abstractNumId w:val="14"/>
  </w:num>
  <w:num w:numId="35">
    <w:abstractNumId w:val="32"/>
  </w:num>
  <w:num w:numId="36">
    <w:abstractNumId w:val="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99094C"/>
    <w:rsid w:val="00001D9D"/>
    <w:rsid w:val="00011117"/>
    <w:rsid w:val="000218D6"/>
    <w:rsid w:val="00030823"/>
    <w:rsid w:val="000310B4"/>
    <w:rsid w:val="000321FC"/>
    <w:rsid w:val="00041B0A"/>
    <w:rsid w:val="0005287E"/>
    <w:rsid w:val="00062DFA"/>
    <w:rsid w:val="000806B4"/>
    <w:rsid w:val="0008301F"/>
    <w:rsid w:val="000978C9"/>
    <w:rsid w:val="000B3621"/>
    <w:rsid w:val="000F0325"/>
    <w:rsid w:val="000F3A23"/>
    <w:rsid w:val="000F7F54"/>
    <w:rsid w:val="00102EA8"/>
    <w:rsid w:val="00104EFB"/>
    <w:rsid w:val="00105587"/>
    <w:rsid w:val="00117A3A"/>
    <w:rsid w:val="0013519A"/>
    <w:rsid w:val="00147A67"/>
    <w:rsid w:val="00161F11"/>
    <w:rsid w:val="001645D6"/>
    <w:rsid w:val="0017612B"/>
    <w:rsid w:val="00187143"/>
    <w:rsid w:val="00191028"/>
    <w:rsid w:val="001C1F88"/>
    <w:rsid w:val="001C25E3"/>
    <w:rsid w:val="001D07C0"/>
    <w:rsid w:val="001D11ED"/>
    <w:rsid w:val="001D35CB"/>
    <w:rsid w:val="001E7FBE"/>
    <w:rsid w:val="001F22D0"/>
    <w:rsid w:val="001F4BA5"/>
    <w:rsid w:val="00204A8C"/>
    <w:rsid w:val="002112F8"/>
    <w:rsid w:val="00217F09"/>
    <w:rsid w:val="002214B1"/>
    <w:rsid w:val="00221659"/>
    <w:rsid w:val="002237E0"/>
    <w:rsid w:val="0022585B"/>
    <w:rsid w:val="0024600A"/>
    <w:rsid w:val="0024786D"/>
    <w:rsid w:val="00256309"/>
    <w:rsid w:val="002768DB"/>
    <w:rsid w:val="002768E8"/>
    <w:rsid w:val="0028626E"/>
    <w:rsid w:val="00291B30"/>
    <w:rsid w:val="002A0C9D"/>
    <w:rsid w:val="002C2B80"/>
    <w:rsid w:val="002C2D1A"/>
    <w:rsid w:val="002C3428"/>
    <w:rsid w:val="002C7426"/>
    <w:rsid w:val="002D6A73"/>
    <w:rsid w:val="002D7238"/>
    <w:rsid w:val="002E0106"/>
    <w:rsid w:val="002E3710"/>
    <w:rsid w:val="002E3B0E"/>
    <w:rsid w:val="002E7E11"/>
    <w:rsid w:val="002F7E75"/>
    <w:rsid w:val="00302C74"/>
    <w:rsid w:val="00314055"/>
    <w:rsid w:val="003146A2"/>
    <w:rsid w:val="003155B9"/>
    <w:rsid w:val="00322BDC"/>
    <w:rsid w:val="00326074"/>
    <w:rsid w:val="003274F5"/>
    <w:rsid w:val="003275FD"/>
    <w:rsid w:val="00332368"/>
    <w:rsid w:val="00334D48"/>
    <w:rsid w:val="00340C04"/>
    <w:rsid w:val="00345106"/>
    <w:rsid w:val="003701B7"/>
    <w:rsid w:val="003772AC"/>
    <w:rsid w:val="003977EC"/>
    <w:rsid w:val="003B1BCA"/>
    <w:rsid w:val="003B7F81"/>
    <w:rsid w:val="003C5F9C"/>
    <w:rsid w:val="003D0155"/>
    <w:rsid w:val="003D090F"/>
    <w:rsid w:val="003E736C"/>
    <w:rsid w:val="004062C7"/>
    <w:rsid w:val="00410700"/>
    <w:rsid w:val="00442899"/>
    <w:rsid w:val="00444A7A"/>
    <w:rsid w:val="004454C2"/>
    <w:rsid w:val="004460D4"/>
    <w:rsid w:val="004739FF"/>
    <w:rsid w:val="004741FB"/>
    <w:rsid w:val="00475E14"/>
    <w:rsid w:val="00484A92"/>
    <w:rsid w:val="00490247"/>
    <w:rsid w:val="004916FF"/>
    <w:rsid w:val="004A2653"/>
    <w:rsid w:val="004A7AD0"/>
    <w:rsid w:val="004B724D"/>
    <w:rsid w:val="004B7F41"/>
    <w:rsid w:val="004C627F"/>
    <w:rsid w:val="004C6B87"/>
    <w:rsid w:val="004D1880"/>
    <w:rsid w:val="004E0D87"/>
    <w:rsid w:val="00500232"/>
    <w:rsid w:val="00505A69"/>
    <w:rsid w:val="00515D71"/>
    <w:rsid w:val="00536AA0"/>
    <w:rsid w:val="00537F50"/>
    <w:rsid w:val="00543B40"/>
    <w:rsid w:val="00543EAC"/>
    <w:rsid w:val="005464E9"/>
    <w:rsid w:val="00566B8A"/>
    <w:rsid w:val="0056727F"/>
    <w:rsid w:val="00575711"/>
    <w:rsid w:val="00580AF5"/>
    <w:rsid w:val="0059538A"/>
    <w:rsid w:val="00595F2B"/>
    <w:rsid w:val="005A2F07"/>
    <w:rsid w:val="005A5104"/>
    <w:rsid w:val="005B5528"/>
    <w:rsid w:val="005B61CD"/>
    <w:rsid w:val="005B7071"/>
    <w:rsid w:val="005C0FB7"/>
    <w:rsid w:val="005D1A81"/>
    <w:rsid w:val="005D7389"/>
    <w:rsid w:val="005D7ABB"/>
    <w:rsid w:val="006062D9"/>
    <w:rsid w:val="006131C7"/>
    <w:rsid w:val="00614C68"/>
    <w:rsid w:val="0062055D"/>
    <w:rsid w:val="00626212"/>
    <w:rsid w:val="0063049A"/>
    <w:rsid w:val="00651E8D"/>
    <w:rsid w:val="006703F6"/>
    <w:rsid w:val="00687B36"/>
    <w:rsid w:val="00697EA4"/>
    <w:rsid w:val="006C1841"/>
    <w:rsid w:val="006C29AA"/>
    <w:rsid w:val="006D6B8D"/>
    <w:rsid w:val="006F21C9"/>
    <w:rsid w:val="006F5080"/>
    <w:rsid w:val="006F698F"/>
    <w:rsid w:val="00710FE3"/>
    <w:rsid w:val="00721DF9"/>
    <w:rsid w:val="007331A1"/>
    <w:rsid w:val="00734368"/>
    <w:rsid w:val="00746838"/>
    <w:rsid w:val="00767C09"/>
    <w:rsid w:val="0077034A"/>
    <w:rsid w:val="00774ECD"/>
    <w:rsid w:val="00781CCF"/>
    <w:rsid w:val="007914E1"/>
    <w:rsid w:val="007963EC"/>
    <w:rsid w:val="00796D5F"/>
    <w:rsid w:val="007A1FA4"/>
    <w:rsid w:val="007A4182"/>
    <w:rsid w:val="007B4503"/>
    <w:rsid w:val="007C10A6"/>
    <w:rsid w:val="007D17B1"/>
    <w:rsid w:val="007D5E67"/>
    <w:rsid w:val="007E3BD6"/>
    <w:rsid w:val="008026C4"/>
    <w:rsid w:val="00804ED3"/>
    <w:rsid w:val="00815A05"/>
    <w:rsid w:val="0082162E"/>
    <w:rsid w:val="00826203"/>
    <w:rsid w:val="008278A6"/>
    <w:rsid w:val="008533A2"/>
    <w:rsid w:val="00865A62"/>
    <w:rsid w:val="0087647A"/>
    <w:rsid w:val="00882A2C"/>
    <w:rsid w:val="008A0832"/>
    <w:rsid w:val="008A364D"/>
    <w:rsid w:val="008B4D13"/>
    <w:rsid w:val="008C332D"/>
    <w:rsid w:val="008D25BA"/>
    <w:rsid w:val="008F27B0"/>
    <w:rsid w:val="008F6F90"/>
    <w:rsid w:val="00916C31"/>
    <w:rsid w:val="0092656D"/>
    <w:rsid w:val="00937F53"/>
    <w:rsid w:val="00937FFC"/>
    <w:rsid w:val="0094350D"/>
    <w:rsid w:val="00961A6D"/>
    <w:rsid w:val="0099094C"/>
    <w:rsid w:val="00996818"/>
    <w:rsid w:val="009A0DF6"/>
    <w:rsid w:val="009A2BE4"/>
    <w:rsid w:val="009A4BD4"/>
    <w:rsid w:val="009C242C"/>
    <w:rsid w:val="009C410C"/>
    <w:rsid w:val="009D24B2"/>
    <w:rsid w:val="009D34F3"/>
    <w:rsid w:val="009D4528"/>
    <w:rsid w:val="00A1111B"/>
    <w:rsid w:val="00A1547A"/>
    <w:rsid w:val="00A211A8"/>
    <w:rsid w:val="00A22D22"/>
    <w:rsid w:val="00A24AEB"/>
    <w:rsid w:val="00A41920"/>
    <w:rsid w:val="00A513A7"/>
    <w:rsid w:val="00A67F96"/>
    <w:rsid w:val="00A85424"/>
    <w:rsid w:val="00A92164"/>
    <w:rsid w:val="00A9790E"/>
    <w:rsid w:val="00AA0207"/>
    <w:rsid w:val="00AB0F6D"/>
    <w:rsid w:val="00AB52DD"/>
    <w:rsid w:val="00AC7241"/>
    <w:rsid w:val="00AD1A62"/>
    <w:rsid w:val="00AD4B66"/>
    <w:rsid w:val="00AF33BA"/>
    <w:rsid w:val="00AF600F"/>
    <w:rsid w:val="00AF602B"/>
    <w:rsid w:val="00B03DC1"/>
    <w:rsid w:val="00B04C63"/>
    <w:rsid w:val="00B114D1"/>
    <w:rsid w:val="00B25D38"/>
    <w:rsid w:val="00B25DEC"/>
    <w:rsid w:val="00B460FE"/>
    <w:rsid w:val="00B540C0"/>
    <w:rsid w:val="00B55003"/>
    <w:rsid w:val="00B6001B"/>
    <w:rsid w:val="00B66128"/>
    <w:rsid w:val="00B66234"/>
    <w:rsid w:val="00B679AF"/>
    <w:rsid w:val="00B85EF8"/>
    <w:rsid w:val="00BB7CE0"/>
    <w:rsid w:val="00BC6DE3"/>
    <w:rsid w:val="00BD7ABE"/>
    <w:rsid w:val="00BE3F84"/>
    <w:rsid w:val="00BE43B0"/>
    <w:rsid w:val="00C01AD7"/>
    <w:rsid w:val="00C109A3"/>
    <w:rsid w:val="00C11403"/>
    <w:rsid w:val="00C13786"/>
    <w:rsid w:val="00C214AC"/>
    <w:rsid w:val="00C42D43"/>
    <w:rsid w:val="00C45437"/>
    <w:rsid w:val="00C50983"/>
    <w:rsid w:val="00C54DE2"/>
    <w:rsid w:val="00C712A7"/>
    <w:rsid w:val="00C712E1"/>
    <w:rsid w:val="00C7356D"/>
    <w:rsid w:val="00C8230F"/>
    <w:rsid w:val="00C936C3"/>
    <w:rsid w:val="00CA29AF"/>
    <w:rsid w:val="00CA34D3"/>
    <w:rsid w:val="00CA71B2"/>
    <w:rsid w:val="00CB29BB"/>
    <w:rsid w:val="00CC230C"/>
    <w:rsid w:val="00CD21BC"/>
    <w:rsid w:val="00CF4EFE"/>
    <w:rsid w:val="00D02B88"/>
    <w:rsid w:val="00D04EC2"/>
    <w:rsid w:val="00D064CA"/>
    <w:rsid w:val="00D07AE7"/>
    <w:rsid w:val="00D12391"/>
    <w:rsid w:val="00D22EA0"/>
    <w:rsid w:val="00D273AF"/>
    <w:rsid w:val="00D33781"/>
    <w:rsid w:val="00D33F20"/>
    <w:rsid w:val="00D41020"/>
    <w:rsid w:val="00D65661"/>
    <w:rsid w:val="00D72AAF"/>
    <w:rsid w:val="00D74A52"/>
    <w:rsid w:val="00D85D7F"/>
    <w:rsid w:val="00DC3C47"/>
    <w:rsid w:val="00DC66C1"/>
    <w:rsid w:val="00DE08DF"/>
    <w:rsid w:val="00DE3D17"/>
    <w:rsid w:val="00DE7FA2"/>
    <w:rsid w:val="00E15940"/>
    <w:rsid w:val="00E2171D"/>
    <w:rsid w:val="00E30534"/>
    <w:rsid w:val="00E34DF0"/>
    <w:rsid w:val="00E606BA"/>
    <w:rsid w:val="00E773E9"/>
    <w:rsid w:val="00E9189B"/>
    <w:rsid w:val="00EB37FD"/>
    <w:rsid w:val="00EB42EA"/>
    <w:rsid w:val="00ED3A89"/>
    <w:rsid w:val="00ED49D5"/>
    <w:rsid w:val="00EE1737"/>
    <w:rsid w:val="00F13432"/>
    <w:rsid w:val="00F230E1"/>
    <w:rsid w:val="00F234A0"/>
    <w:rsid w:val="00F27878"/>
    <w:rsid w:val="00F32467"/>
    <w:rsid w:val="00F41E27"/>
    <w:rsid w:val="00F4309E"/>
    <w:rsid w:val="00F65CB1"/>
    <w:rsid w:val="00F661E5"/>
    <w:rsid w:val="00F76AD8"/>
    <w:rsid w:val="00F90A87"/>
    <w:rsid w:val="00F937F8"/>
    <w:rsid w:val="00F93C9C"/>
    <w:rsid w:val="00FA084B"/>
    <w:rsid w:val="00FA47FB"/>
    <w:rsid w:val="00FD16CE"/>
    <w:rsid w:val="00FD7980"/>
    <w:rsid w:val="00FE2356"/>
    <w:rsid w:val="00FF3CC2"/>
    <w:rsid w:val="00FF7E65"/>
    <w:rsid w:val="13124DD6"/>
    <w:rsid w:val="5E260A3F"/>
    <w:rsid w:val="673A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3CB47"/>
  <w15:docId w15:val="{2FAE7860-A380-4135-BF45-B4813B09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117A3A"/>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qFormat/>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uiPriority w:val="1"/>
    <w:qFormat/>
    <w:rsid w:val="00147A67"/>
    <w:rPr>
      <w:rFonts w:ascii="Times New Roman" w:hAnsi="Times New Roman" w:cs="Times New Roman"/>
      <w:b/>
      <w:sz w:val="24"/>
      <w:szCs w:val="24"/>
    </w:rPr>
  </w:style>
  <w:style w:type="character" w:customStyle="1" w:styleId="BodyTextChar">
    <w:name w:val="Body Text Char"/>
    <w:basedOn w:val="DefaultParagraphFont"/>
    <w:link w:val="BodyText"/>
    <w:uiPriority w:val="1"/>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55003"/>
    <w:rPr>
      <w:sz w:val="16"/>
      <w:szCs w:val="16"/>
    </w:rPr>
  </w:style>
  <w:style w:type="paragraph" w:styleId="CommentText">
    <w:name w:val="annotation text"/>
    <w:basedOn w:val="Normal"/>
    <w:link w:val="CommentTextChar"/>
    <w:uiPriority w:val="99"/>
    <w:semiHidden/>
    <w:unhideWhenUsed/>
    <w:rsid w:val="00B55003"/>
    <w:rPr>
      <w:sz w:val="20"/>
      <w:szCs w:val="20"/>
    </w:rPr>
  </w:style>
  <w:style w:type="character" w:customStyle="1" w:styleId="CommentTextChar">
    <w:name w:val="Comment Text Char"/>
    <w:basedOn w:val="DefaultParagraphFont"/>
    <w:link w:val="CommentText"/>
    <w:uiPriority w:val="99"/>
    <w:semiHidden/>
    <w:rsid w:val="00B55003"/>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B55003"/>
    <w:rPr>
      <w:b/>
    </w:rPr>
  </w:style>
  <w:style w:type="character" w:customStyle="1" w:styleId="CommentSubjectChar">
    <w:name w:val="Comment Subject Char"/>
    <w:basedOn w:val="CommentTextChar"/>
    <w:link w:val="CommentSubject"/>
    <w:uiPriority w:val="99"/>
    <w:semiHidden/>
    <w:rsid w:val="00B55003"/>
    <w:rPr>
      <w:rFonts w:ascii="Palatino Linotype" w:eastAsia="Times New Roman" w:hAnsi="Palatino Linotype"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fo.k-12leadership.org/creating-a-theory-of-action" TargetMode="External"/><Relationship Id="rId18" Type="http://schemas.openxmlformats.org/officeDocument/2006/relationships/hyperlink" Target="https://issuu.com/achieveinc/docs/achievestudentassessmentinventory/2" TargetMode="External"/><Relationship Id="rId26" Type="http://schemas.openxmlformats.org/officeDocument/2006/relationships/hyperlink" Target="http://www.ascd.org/publications/educational-leadership/feb18/vol75/num05/Assessment-for-Equity.aspx" TargetMode="External"/><Relationship Id="rId3" Type="http://schemas.openxmlformats.org/officeDocument/2006/relationships/customXml" Target="../customXml/item3.xml"/><Relationship Id="rId21" Type="http://schemas.openxmlformats.org/officeDocument/2006/relationships/hyperlink" Target="https://datawise.gse.harvard.edu/courses-and-material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ducation.vermont.gov/student-learning/proficiency-based-learning/proficiency-based-graduation-requirements" TargetMode="External"/><Relationship Id="rId17" Type="http://schemas.openxmlformats.org/officeDocument/2006/relationships/hyperlink" Target="https://www.nciea.org/sites/default/files/pubs-tmp/Chattergoon%20Marion%202016%20Not%20as%20easy%20as%20it%20sounds%20Designing%20a%20balanced%20assessment%20system.pdf" TargetMode="External"/><Relationship Id="rId25" Type="http://schemas.openxmlformats.org/officeDocument/2006/relationships/hyperlink" Target="https://education.vermont.gov/student-learning/personalized-learning/personalized-learning-planning-proces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st.org/our-work/about-udl.html" TargetMode="External"/><Relationship Id="rId20" Type="http://schemas.openxmlformats.org/officeDocument/2006/relationships/hyperlink" Target="https://www.ncte.org/library/NCTEFiles/Resources/Journals/VM/0212-dec2013/VM0212Assessment.pdf" TargetMode="External"/><Relationship Id="rId29" Type="http://schemas.openxmlformats.org/officeDocument/2006/relationships/hyperlink" Target="https://www.inacol.org/resource/modernizing-the-teaching-workforce-for-learner-centered-competency-based-equity-oriented-education-state-policy-recommend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student-learning/proficiency-based-learning/proficiency-based-graduation-requirements" TargetMode="External"/><Relationship Id="rId24" Type="http://schemas.openxmlformats.org/officeDocument/2006/relationships/hyperlink" Target="https://education.vermont.gov/documents/personalized-learning-plans-manua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ducation.vermont.gov/student-learning/assessments/state-and-local-assessments" TargetMode="External"/><Relationship Id="rId23" Type="http://schemas.openxmlformats.org/officeDocument/2006/relationships/hyperlink" Target="https://www.inacol.org/news/threshold-concept-building-capacity-for-assessment-literacy-in-personalized-competency-based-education/" TargetMode="External"/><Relationship Id="rId28" Type="http://schemas.openxmlformats.org/officeDocument/2006/relationships/hyperlink" Target="https://education.vermont.gov/documents/edu-essential-components-for-ensuring-lcas-are-culturally-relevant-and-equitabl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aesp.org/resource/assessment-that-supports-equity/" TargetMode="External"/><Relationship Id="rId31" Type="http://schemas.openxmlformats.org/officeDocument/2006/relationships/hyperlink" Target="https://education.vermont.gov/documents/edu-vtmtss-field-guide-2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vermont.gov/documents/edu-comprehensive-needs-assessment-toolkit" TargetMode="External"/><Relationship Id="rId22" Type="http://schemas.openxmlformats.org/officeDocument/2006/relationships/hyperlink" Target="https://education.vermont.gov/education-quality-assurance/annual-snapshot" TargetMode="External"/><Relationship Id="rId27" Type="http://schemas.openxmlformats.org/officeDocument/2006/relationships/hyperlink" Target="https://aurora-institute.org/resource/designing-equity-leveraging-competency-based-education-ensure-students-succeed/" TargetMode="External"/><Relationship Id="rId30" Type="http://schemas.openxmlformats.org/officeDocument/2006/relationships/hyperlink" Target="https://education.vermont.gov/documents/strengthening-and-streamlining-local-comprehensive-assessment-system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pat.fitzsimmons@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llechicoine\OneDrive%20-%20State%20of%20Vermont\AOE%20Mandatory%20Templates\edu-new-basic-landscap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2039a670-5f3d-4a46-b3fd-f00d678c3512">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filecount xmlns="3cfe686b-f520-40a1-8423-e0444a61d06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5" ma:contentTypeDescription="Create a new document." ma:contentTypeScope="" ma:versionID="3bdc9188008c8db5cefe4a241d54f4f5">
  <xsd:schema xmlns:xsd="http://www.w3.org/2001/XMLSchema" xmlns:xs="http://www.w3.org/2001/XMLSchema" xmlns:p="http://schemas.microsoft.com/office/2006/metadata/properties" xmlns:ns1="http://schemas.microsoft.com/sharepoint/v3" xmlns:ns2="3cfe686b-f520-40a1-8423-e0444a61d06f" xmlns:ns3="2039a670-5f3d-4a46-b3fd-f00d678c3512" targetNamespace="http://schemas.microsoft.com/office/2006/metadata/properties" ma:root="true" ma:fieldsID="7f3f9330f5b6300b23889456aaf5c1ea" ns1:_="" ns2:_="" ns3:_="">
    <xsd:import namespace="http://schemas.microsoft.com/sharepoint/v3"/>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1:_ip_UnifiedCompliancePolicyProperties" minOccurs="0"/>
                <xsd:element ref="ns1:_ip_UnifiedCompliancePolicyUIAction" minOccurs="0"/>
                <xsd:element ref="ns2:fil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filecount" ma:index="21" nillable="true" ma:displayName="file count" ma:format="Dropdown" ma:internalName="filecoun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713131F7-1ADA-45D4-A710-6323628CF03E}">
  <ds:schemaRefs>
    <ds:schemaRef ds:uri="http://schemas.openxmlformats.org/officeDocument/2006/bibliography"/>
  </ds:schemaRefs>
</ds:datastoreItem>
</file>

<file path=customXml/itemProps3.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2039a670-5f3d-4a46-b3fd-f00d678c3512"/>
    <ds:schemaRef ds:uri="http://schemas.microsoft.com/sharepoint/v3"/>
    <ds:schemaRef ds:uri="3cfe686b-f520-40a1-8423-e0444a61d06f"/>
  </ds:schemaRefs>
</ds:datastoreItem>
</file>

<file path=customXml/itemProps4.xml><?xml version="1.0" encoding="utf-8"?>
<ds:datastoreItem xmlns:ds="http://schemas.openxmlformats.org/officeDocument/2006/customXml" ds:itemID="{850B851A-51F0-4DC8-8B24-2C199D86C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edu-new-basic-landscape-template</Template>
  <TotalTime>3</TotalTime>
  <Pages>8</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Local Comprehensive Assessment System Quality Criteria Single Point Rubric</vt:lpstr>
    </vt:vector>
  </TitlesOfParts>
  <Company>Vermont Agency of Education</Company>
  <LinksUpToDate>false</LinksUpToDate>
  <CharactersWithSpaces>11517</CharactersWithSpaces>
  <SharedDoc>false</SharedDoc>
  <HLinks>
    <vt:vector size="132" baseType="variant">
      <vt:variant>
        <vt:i4>3801150</vt:i4>
      </vt:variant>
      <vt:variant>
        <vt:i4>60</vt:i4>
      </vt:variant>
      <vt:variant>
        <vt:i4>0</vt:i4>
      </vt:variant>
      <vt:variant>
        <vt:i4>5</vt:i4>
      </vt:variant>
      <vt:variant>
        <vt:lpwstr>https://education.vermont.gov/documents/edu-vtmtss-field-guide-2019</vt:lpwstr>
      </vt:variant>
      <vt:variant>
        <vt:lpwstr/>
      </vt:variant>
      <vt:variant>
        <vt:i4>6160414</vt:i4>
      </vt:variant>
      <vt:variant>
        <vt:i4>57</vt:i4>
      </vt:variant>
      <vt:variant>
        <vt:i4>0</vt:i4>
      </vt:variant>
      <vt:variant>
        <vt:i4>5</vt:i4>
      </vt:variant>
      <vt:variant>
        <vt:lpwstr>https://education.vermont.gov/documents/strengthening-and-streamlining-local-comprehensive-assessment-systems</vt:lpwstr>
      </vt:variant>
      <vt:variant>
        <vt:lpwstr/>
      </vt:variant>
      <vt:variant>
        <vt:i4>786459</vt:i4>
      </vt:variant>
      <vt:variant>
        <vt:i4>54</vt:i4>
      </vt:variant>
      <vt:variant>
        <vt:i4>0</vt:i4>
      </vt:variant>
      <vt:variant>
        <vt:i4>5</vt:i4>
      </vt:variant>
      <vt:variant>
        <vt:lpwstr>https://www.inacol.org/resource/modernizing-the-teaching-workforce-for-learner-centered-competency-based-equity-oriented-education-state-policy-recommendations/</vt:lpwstr>
      </vt:variant>
      <vt:variant>
        <vt:lpwstr/>
      </vt:variant>
      <vt:variant>
        <vt:i4>655436</vt:i4>
      </vt:variant>
      <vt:variant>
        <vt:i4>51</vt:i4>
      </vt:variant>
      <vt:variant>
        <vt:i4>0</vt:i4>
      </vt:variant>
      <vt:variant>
        <vt:i4>5</vt:i4>
      </vt:variant>
      <vt:variant>
        <vt:lpwstr>https://education.vermont.gov/documents/edu-essential-components-for-ensuring-lcas-are-culturally-relevant-and-equitable</vt:lpwstr>
      </vt:variant>
      <vt:variant>
        <vt:lpwstr/>
      </vt:variant>
      <vt:variant>
        <vt:i4>2031695</vt:i4>
      </vt:variant>
      <vt:variant>
        <vt:i4>48</vt:i4>
      </vt:variant>
      <vt:variant>
        <vt:i4>0</vt:i4>
      </vt:variant>
      <vt:variant>
        <vt:i4>5</vt:i4>
      </vt:variant>
      <vt:variant>
        <vt:lpwstr>https://aurora-institute.org/resource/designing-equity-leveraging-competency-based-education-ensure-students-succeed/</vt:lpwstr>
      </vt:variant>
      <vt:variant>
        <vt:lpwstr/>
      </vt:variant>
      <vt:variant>
        <vt:i4>4718622</vt:i4>
      </vt:variant>
      <vt:variant>
        <vt:i4>45</vt:i4>
      </vt:variant>
      <vt:variant>
        <vt:i4>0</vt:i4>
      </vt:variant>
      <vt:variant>
        <vt:i4>5</vt:i4>
      </vt:variant>
      <vt:variant>
        <vt:lpwstr>http://www.ascd.org/publications/educational-leadership/feb18/vol75/num05/Assessment-for-Equity.aspx</vt:lpwstr>
      </vt:variant>
      <vt:variant>
        <vt:lpwstr/>
      </vt:variant>
      <vt:variant>
        <vt:i4>4915279</vt:i4>
      </vt:variant>
      <vt:variant>
        <vt:i4>42</vt:i4>
      </vt:variant>
      <vt:variant>
        <vt:i4>0</vt:i4>
      </vt:variant>
      <vt:variant>
        <vt:i4>5</vt:i4>
      </vt:variant>
      <vt:variant>
        <vt:lpwstr>https://education.vermont.gov/student-learning/personalized-learning/personalized-learning-planning-process</vt:lpwstr>
      </vt:variant>
      <vt:variant>
        <vt:lpwstr>self-paced</vt:lpwstr>
      </vt:variant>
      <vt:variant>
        <vt:i4>7471227</vt:i4>
      </vt:variant>
      <vt:variant>
        <vt:i4>39</vt:i4>
      </vt:variant>
      <vt:variant>
        <vt:i4>0</vt:i4>
      </vt:variant>
      <vt:variant>
        <vt:i4>5</vt:i4>
      </vt:variant>
      <vt:variant>
        <vt:lpwstr>https://education.vermont.gov/documents/personalized-learning-plans-manual</vt:lpwstr>
      </vt:variant>
      <vt:variant>
        <vt:lpwstr/>
      </vt:variant>
      <vt:variant>
        <vt:i4>7471208</vt:i4>
      </vt:variant>
      <vt:variant>
        <vt:i4>36</vt:i4>
      </vt:variant>
      <vt:variant>
        <vt:i4>0</vt:i4>
      </vt:variant>
      <vt:variant>
        <vt:i4>5</vt:i4>
      </vt:variant>
      <vt:variant>
        <vt:lpwstr>https://www.inacol.org/news/threshold-concept-building-capacity-for-assessment-literacy-in-personalized-competency-based-education/</vt:lpwstr>
      </vt:variant>
      <vt:variant>
        <vt:lpwstr/>
      </vt:variant>
      <vt:variant>
        <vt:i4>524304</vt:i4>
      </vt:variant>
      <vt:variant>
        <vt:i4>33</vt:i4>
      </vt:variant>
      <vt:variant>
        <vt:i4>0</vt:i4>
      </vt:variant>
      <vt:variant>
        <vt:i4>5</vt:i4>
      </vt:variant>
      <vt:variant>
        <vt:lpwstr>https://education.vermont.gov/education-quality-assurance/annual-snapshot</vt:lpwstr>
      </vt:variant>
      <vt:variant>
        <vt:lpwstr/>
      </vt:variant>
      <vt:variant>
        <vt:i4>7995440</vt:i4>
      </vt:variant>
      <vt:variant>
        <vt:i4>30</vt:i4>
      </vt:variant>
      <vt:variant>
        <vt:i4>0</vt:i4>
      </vt:variant>
      <vt:variant>
        <vt:i4>5</vt:i4>
      </vt:variant>
      <vt:variant>
        <vt:lpwstr>https://datawise.gse.harvard.edu/courses-and-materials</vt:lpwstr>
      </vt:variant>
      <vt:variant>
        <vt:lpwstr/>
      </vt:variant>
      <vt:variant>
        <vt:i4>6422645</vt:i4>
      </vt:variant>
      <vt:variant>
        <vt:i4>27</vt:i4>
      </vt:variant>
      <vt:variant>
        <vt:i4>0</vt:i4>
      </vt:variant>
      <vt:variant>
        <vt:i4>5</vt:i4>
      </vt:variant>
      <vt:variant>
        <vt:lpwstr>https://www.ncte.org/library/NCTEFiles/Resources/Journals/VM/0212-dec2013/VM0212Assessment.pdf</vt:lpwstr>
      </vt:variant>
      <vt:variant>
        <vt:lpwstr/>
      </vt:variant>
      <vt:variant>
        <vt:i4>3801215</vt:i4>
      </vt:variant>
      <vt:variant>
        <vt:i4>24</vt:i4>
      </vt:variant>
      <vt:variant>
        <vt:i4>0</vt:i4>
      </vt:variant>
      <vt:variant>
        <vt:i4>5</vt:i4>
      </vt:variant>
      <vt:variant>
        <vt:lpwstr>https://www.naesp.org/principal-mayjune-2019-assessment-feedback/assessment-supports-equity</vt:lpwstr>
      </vt:variant>
      <vt:variant>
        <vt:lpwstr/>
      </vt:variant>
      <vt:variant>
        <vt:i4>1703943</vt:i4>
      </vt:variant>
      <vt:variant>
        <vt:i4>21</vt:i4>
      </vt:variant>
      <vt:variant>
        <vt:i4>0</vt:i4>
      </vt:variant>
      <vt:variant>
        <vt:i4>5</vt:i4>
      </vt:variant>
      <vt:variant>
        <vt:lpwstr>https://issuu.com/achieveinc/docs/achievestudentassessmentinventory/2</vt:lpwstr>
      </vt:variant>
      <vt:variant>
        <vt:lpwstr/>
      </vt:variant>
      <vt:variant>
        <vt:i4>2097258</vt:i4>
      </vt:variant>
      <vt:variant>
        <vt:i4>18</vt:i4>
      </vt:variant>
      <vt:variant>
        <vt:i4>0</vt:i4>
      </vt:variant>
      <vt:variant>
        <vt:i4>5</vt:i4>
      </vt:variant>
      <vt:variant>
        <vt:lpwstr>https://www.nciea.org/sites/default/files/pubs-tmp/Chattergoon Marion 2016 Not as easy as it sounds Designing a balanced assessment system.pdf</vt:lpwstr>
      </vt:variant>
      <vt:variant>
        <vt:lpwstr/>
      </vt:variant>
      <vt:variant>
        <vt:i4>6357109</vt:i4>
      </vt:variant>
      <vt:variant>
        <vt:i4>15</vt:i4>
      </vt:variant>
      <vt:variant>
        <vt:i4>0</vt:i4>
      </vt:variant>
      <vt:variant>
        <vt:i4>5</vt:i4>
      </vt:variant>
      <vt:variant>
        <vt:lpwstr>http://www.cast.org/our-work/about-udl.html</vt:lpwstr>
      </vt:variant>
      <vt:variant>
        <vt:lpwstr>.XaitRJJKi1s</vt:lpwstr>
      </vt:variant>
      <vt:variant>
        <vt:i4>7340143</vt:i4>
      </vt:variant>
      <vt:variant>
        <vt:i4>12</vt:i4>
      </vt:variant>
      <vt:variant>
        <vt:i4>0</vt:i4>
      </vt:variant>
      <vt:variant>
        <vt:i4>5</vt:i4>
      </vt:variant>
      <vt:variant>
        <vt:lpwstr>https://education.vermont.gov/student-learning/assessments/state-and-local-assessments</vt:lpwstr>
      </vt:variant>
      <vt:variant>
        <vt:lpwstr/>
      </vt:variant>
      <vt:variant>
        <vt:i4>2949236</vt:i4>
      </vt:variant>
      <vt:variant>
        <vt:i4>9</vt:i4>
      </vt:variant>
      <vt:variant>
        <vt:i4>0</vt:i4>
      </vt:variant>
      <vt:variant>
        <vt:i4>5</vt:i4>
      </vt:variant>
      <vt:variant>
        <vt:lpwstr>https://education.vermont.gov/documents/edu-comprehensive-needs-assessment-toolkit</vt:lpwstr>
      </vt:variant>
      <vt:variant>
        <vt:lpwstr/>
      </vt:variant>
      <vt:variant>
        <vt:i4>3276925</vt:i4>
      </vt:variant>
      <vt:variant>
        <vt:i4>6</vt:i4>
      </vt:variant>
      <vt:variant>
        <vt:i4>0</vt:i4>
      </vt:variant>
      <vt:variant>
        <vt:i4>5</vt:i4>
      </vt:variant>
      <vt:variant>
        <vt:lpwstr>http://info.k-12leadership.org/creating-a-theory-of-action</vt:lpwstr>
      </vt:variant>
      <vt:variant>
        <vt:lpwstr/>
      </vt:variant>
      <vt:variant>
        <vt:i4>2424888</vt:i4>
      </vt:variant>
      <vt:variant>
        <vt:i4>3</vt:i4>
      </vt:variant>
      <vt:variant>
        <vt:i4>0</vt:i4>
      </vt:variant>
      <vt:variant>
        <vt:i4>5</vt:i4>
      </vt:variant>
      <vt:variant>
        <vt:lpwstr>https://education.vermont.gov/student-learning/proficiency-based-learning/proficiency-based-graduation-requirements</vt:lpwstr>
      </vt:variant>
      <vt:variant>
        <vt:lpwstr/>
      </vt:variant>
      <vt:variant>
        <vt:i4>4849736</vt:i4>
      </vt:variant>
      <vt:variant>
        <vt:i4>0</vt:i4>
      </vt:variant>
      <vt:variant>
        <vt:i4>0</vt:i4>
      </vt:variant>
      <vt:variant>
        <vt:i4>5</vt:i4>
      </vt:variant>
      <vt:variant>
        <vt:lpwstr>https://education.vermont.gov/student-learning/proficiency-based-learning/proficiency-based-graduation-requirements</vt:lpwstr>
      </vt:variant>
      <vt:variant>
        <vt:lpwstr>pog</vt:lpwstr>
      </vt:variant>
      <vt:variant>
        <vt:i4>7864347</vt:i4>
      </vt:variant>
      <vt:variant>
        <vt:i4>6</vt:i4>
      </vt:variant>
      <vt:variant>
        <vt:i4>0</vt:i4>
      </vt:variant>
      <vt:variant>
        <vt:i4>5</vt:i4>
      </vt:variant>
      <vt:variant>
        <vt:lpwstr>mailto:pat.fitzsimmons@vermont.gov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Comprehensive Assessment System Quality Criteria Single Point Rubric</dc:title>
  <dc:creator>VermontAgencyofEducation@Vermontgov.onmicrosoft.com</dc:creator>
  <cp:keywords/>
  <cp:lastModifiedBy>Chicoine, Lucille</cp:lastModifiedBy>
  <cp:revision>3</cp:revision>
  <cp:lastPrinted>2015-09-09T16:37:00Z</cp:lastPrinted>
  <dcterms:created xsi:type="dcterms:W3CDTF">2021-04-20T12:27:00Z</dcterms:created>
  <dcterms:modified xsi:type="dcterms:W3CDTF">2021-04-20T12:29:00Z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ies>
</file>