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C0815" w14:textId="77777777" w:rsidR="00C424AC" w:rsidRPr="00BB7040" w:rsidRDefault="00C424AC" w:rsidP="00C424AC">
      <w:pPr>
        <w:pStyle w:val="Heading1"/>
      </w:pPr>
      <w:bookmarkStart w:id="0" w:name="_Toc475018843"/>
      <w:bookmarkStart w:id="1" w:name="_Toc31708203"/>
      <w:r w:rsidRPr="00BB7040">
        <w:t>Appendix D</w:t>
      </w:r>
      <w:bookmarkEnd w:id="0"/>
      <w:bookmarkEnd w:id="1"/>
    </w:p>
    <w:p w14:paraId="313ED663" w14:textId="77777777" w:rsidR="00C424AC" w:rsidRDefault="00C424AC" w:rsidP="00C424AC">
      <w:pPr>
        <w:jc w:val="center"/>
        <w:rPr>
          <w:b/>
          <w:bCs w:val="0"/>
        </w:rPr>
      </w:pPr>
      <w:bookmarkStart w:id="2" w:name="_Toc475018844"/>
      <w:bookmarkStart w:id="3" w:name="_Toc475024973"/>
      <w:r w:rsidRPr="00BB7040">
        <w:rPr>
          <w:b/>
          <w:bCs w:val="0"/>
        </w:rPr>
        <w:t>Assurances and Signature Page</w:t>
      </w:r>
      <w:bookmarkEnd w:id="2"/>
      <w:bookmarkEnd w:id="3"/>
    </w:p>
    <w:p w14:paraId="52B355C0" w14:textId="77777777" w:rsidR="00C424AC" w:rsidRPr="00BB7040" w:rsidRDefault="00C424AC" w:rsidP="00C424AC">
      <w:pPr>
        <w:jc w:val="center"/>
        <w:rPr>
          <w:b/>
          <w:bCs w:val="0"/>
        </w:rPr>
      </w:pPr>
    </w:p>
    <w:p w14:paraId="44ED9305" w14:textId="77777777" w:rsidR="00C424AC" w:rsidRPr="00BB7040" w:rsidRDefault="00C424AC" w:rsidP="00C424AC">
      <w:r w:rsidRPr="00BB7040">
        <w:t>Any grants will require compliance with all applicable state and federal rules, regulation, and policies, including but not limited to:</w:t>
      </w:r>
    </w:p>
    <w:p w14:paraId="692E12B6" w14:textId="77777777" w:rsidR="00C424AC" w:rsidRPr="00BB7040" w:rsidRDefault="00C424AC" w:rsidP="00C424AC">
      <w:pPr>
        <w:pStyle w:val="AOEBulletedList"/>
        <w:spacing w:after="120" w:line="240" w:lineRule="auto"/>
      </w:pPr>
      <w:r w:rsidRPr="00BB7040">
        <w:t>Funding must be used to establish or operate programs that provide adult education and literacy activities and provide such activities concurrently.</w:t>
      </w:r>
    </w:p>
    <w:p w14:paraId="2790BF8A" w14:textId="77777777" w:rsidR="00C424AC" w:rsidRPr="00BB7040" w:rsidRDefault="00C424AC" w:rsidP="00C424AC">
      <w:pPr>
        <w:pStyle w:val="AOEBulletedList"/>
        <w:spacing w:after="120" w:line="240" w:lineRule="auto"/>
      </w:pPr>
      <w:r w:rsidRPr="00BB7040">
        <w:t>Activities supported with Federal and State AEL funds are necessary, reasonable and allowable.</w:t>
      </w:r>
    </w:p>
    <w:p w14:paraId="7710C86D" w14:textId="77777777" w:rsidR="00C424AC" w:rsidRPr="00BB7040" w:rsidRDefault="00C424AC" w:rsidP="00C424AC">
      <w:pPr>
        <w:pStyle w:val="AOEBulletedList"/>
        <w:spacing w:after="120" w:line="240" w:lineRule="auto"/>
      </w:pPr>
      <w:r w:rsidRPr="00BB7040">
        <w:rPr>
          <w:shd w:val="clear" w:color="auto" w:fill="FFFFFF"/>
        </w:rPr>
        <w:t>Adult Diploma Program funds support allowable activities per state statute and policy.</w:t>
      </w:r>
    </w:p>
    <w:p w14:paraId="59E5FFBF" w14:textId="77777777" w:rsidR="00C424AC" w:rsidRPr="00BB7040" w:rsidRDefault="00C424AC" w:rsidP="00C424AC">
      <w:pPr>
        <w:pStyle w:val="AOEBulletedList"/>
        <w:spacing w:after="120" w:line="240" w:lineRule="auto"/>
      </w:pPr>
      <w:r w:rsidRPr="00BB7040">
        <w:t>Per AEL policy, grantee will not deny services to eligible students without prior consultation with the Vermont Agency of Education.</w:t>
      </w:r>
    </w:p>
    <w:p w14:paraId="67912FDB" w14:textId="77777777" w:rsidR="00C424AC" w:rsidRPr="00BB7040" w:rsidRDefault="00C424AC" w:rsidP="00C424AC">
      <w:pPr>
        <w:pStyle w:val="AOEBulletedList"/>
        <w:spacing w:after="120" w:line="240" w:lineRule="auto"/>
      </w:pPr>
      <w:r w:rsidRPr="00BB7040">
        <w:t xml:space="preserve">AEL learners will </w:t>
      </w:r>
      <w:r w:rsidRPr="00BB7040">
        <w:rPr>
          <w:u w:val="single"/>
        </w:rPr>
        <w:t>not</w:t>
      </w:r>
      <w:r w:rsidRPr="00BB7040">
        <w:t xml:space="preserve"> be charged for services and materials, with the following exception:</w:t>
      </w:r>
    </w:p>
    <w:p w14:paraId="47E5CCDC" w14:textId="77777777" w:rsidR="00C424AC" w:rsidRPr="00BB7040" w:rsidRDefault="00C424AC" w:rsidP="00C424AC">
      <w:pPr>
        <w:pStyle w:val="AOEBulletedList"/>
        <w:numPr>
          <w:ilvl w:val="1"/>
          <w:numId w:val="1"/>
        </w:numPr>
        <w:spacing w:after="120" w:line="240" w:lineRule="auto"/>
      </w:pPr>
      <w:r w:rsidRPr="00BB7040">
        <w:t>Examinees may be charged the fee set by GED Testing Service for each computer-based GED examination.</w:t>
      </w:r>
    </w:p>
    <w:p w14:paraId="55F0E7C4" w14:textId="77777777" w:rsidR="00C424AC" w:rsidRPr="00BB7040" w:rsidRDefault="00C424AC" w:rsidP="00C424AC">
      <w:pPr>
        <w:pStyle w:val="AOEBulletedList"/>
        <w:numPr>
          <w:ilvl w:val="1"/>
          <w:numId w:val="1"/>
        </w:numPr>
        <w:spacing w:after="120" w:line="240" w:lineRule="auto"/>
      </w:pPr>
      <w:r w:rsidRPr="00BB7040">
        <w:t xml:space="preserve">GED fees collected may </w:t>
      </w:r>
      <w:r w:rsidRPr="00BB7040">
        <w:rPr>
          <w:u w:val="single"/>
        </w:rPr>
        <w:t>not</w:t>
      </w:r>
      <w:r w:rsidRPr="00BB7040">
        <w:t xml:space="preserve"> be considered program income.</w:t>
      </w:r>
    </w:p>
    <w:p w14:paraId="15F82DDC" w14:textId="77777777" w:rsidR="00C424AC" w:rsidRPr="00BB7040" w:rsidRDefault="00C424AC" w:rsidP="00C424AC">
      <w:pPr>
        <w:pStyle w:val="AOEBulletedList"/>
        <w:numPr>
          <w:ilvl w:val="1"/>
          <w:numId w:val="1"/>
        </w:numPr>
        <w:spacing w:after="120" w:line="240" w:lineRule="auto"/>
      </w:pPr>
      <w:r w:rsidRPr="00BB7040">
        <w:t xml:space="preserve">Federal AEL funds may </w:t>
      </w:r>
      <w:r w:rsidRPr="00BB7040">
        <w:rPr>
          <w:u w:val="single"/>
        </w:rPr>
        <w:t>not</w:t>
      </w:r>
      <w:r w:rsidRPr="00BB7040">
        <w:t xml:space="preserve"> be used to pay for GED examinee fees. </w:t>
      </w:r>
    </w:p>
    <w:p w14:paraId="6D041AB9" w14:textId="77777777" w:rsidR="00C424AC" w:rsidRPr="00BB7040" w:rsidRDefault="00C424AC" w:rsidP="00C424AC">
      <w:pPr>
        <w:pStyle w:val="AOEBulletedList"/>
        <w:spacing w:after="120" w:line="240" w:lineRule="auto"/>
      </w:pPr>
      <w:r w:rsidRPr="00BB7040">
        <w:t>Applicant agrees to operate as a unified, statewide AEL system and that all work under this funding will be in full compliance with the AEL vision, mission and common practice, policies, and procedures defined by State and Federal legislation governing AEL.</w:t>
      </w:r>
    </w:p>
    <w:p w14:paraId="51822830" w14:textId="77777777" w:rsidR="00C424AC" w:rsidRPr="00BB7040" w:rsidRDefault="00C424AC" w:rsidP="00C424AC">
      <w:pPr>
        <w:pStyle w:val="AOEBulletedList"/>
        <w:spacing w:after="120" w:line="240" w:lineRule="auto"/>
      </w:pPr>
      <w:r w:rsidRPr="00BB7040">
        <w:t>State-imposed requirement: Applicant agrees to fully cooperate with evaluation and monitoring processes conducted by the AOE, which includes audit of services and access to all records, books, papers, or documents related to performance of AEL work under this grant.</w:t>
      </w:r>
    </w:p>
    <w:p w14:paraId="094C9262" w14:textId="77777777" w:rsidR="00C424AC" w:rsidRPr="00BB7040" w:rsidRDefault="00C424AC" w:rsidP="00C424AC">
      <w:pPr>
        <w:pStyle w:val="AOEBulletedList"/>
        <w:spacing w:after="120" w:line="240" w:lineRule="auto"/>
      </w:pPr>
      <w:r w:rsidRPr="00BB7040">
        <w:t>Grantee will sign all required federal and state assurances prior to release of funding.</w:t>
      </w:r>
    </w:p>
    <w:p w14:paraId="59985E04" w14:textId="77777777" w:rsidR="00C424AC" w:rsidRPr="00BB7040" w:rsidRDefault="00C424AC" w:rsidP="00C424AC">
      <w:pPr>
        <w:pStyle w:val="AOEBulletedList"/>
        <w:spacing w:after="120" w:line="240" w:lineRule="auto"/>
      </w:pPr>
      <w:r w:rsidRPr="00BB7040">
        <w:t>Grantee will take necessary steps to ensure compliance with Federal and State non-discrimination laws of grantee materials and websites.</w:t>
      </w:r>
    </w:p>
    <w:p w14:paraId="455BA3EF" w14:textId="77777777" w:rsidR="00C424AC" w:rsidRPr="00BB7040" w:rsidRDefault="00C424AC" w:rsidP="00C424AC">
      <w:pPr>
        <w:pStyle w:val="AOEBulletedList"/>
        <w:spacing w:after="120" w:line="240" w:lineRule="auto"/>
      </w:pPr>
      <w:r w:rsidRPr="00BB7040">
        <w:rPr>
          <w:shd w:val="clear" w:color="auto" w:fill="FFFFFF"/>
        </w:rPr>
        <w:t>Per the General Education Provisions Act (GEPA), Section 427 – program ensures equitable access to, and equitable participation in the program for learners, teachers, and other program beneficiaries with special needs.</w:t>
      </w:r>
    </w:p>
    <w:p w14:paraId="67ACD18D" w14:textId="77777777" w:rsidR="00C424AC" w:rsidRPr="00BB7040" w:rsidRDefault="00C424AC" w:rsidP="00C424AC">
      <w:pPr>
        <w:pStyle w:val="BodyTextIndent2"/>
        <w:widowControl w:val="0"/>
        <w:autoSpaceDE w:val="0"/>
        <w:autoSpaceDN w:val="0"/>
        <w:adjustRightInd w:val="0"/>
        <w:spacing w:after="0" w:line="240" w:lineRule="auto"/>
        <w:ind w:left="0"/>
        <w:rPr>
          <w:sz w:val="22"/>
          <w:szCs w:val="22"/>
        </w:rPr>
      </w:pPr>
      <w:r w:rsidRPr="00BB7040">
        <w:rPr>
          <w:rFonts w:cs="Arial"/>
          <w:sz w:val="22"/>
          <w:szCs w:val="22"/>
        </w:rPr>
        <w:t xml:space="preserve">By submitting a proposal and signing below, applicant certifies that all applicable state and federal rules, regulations and policies will be observed and that, to the best of his/her knowledge, the information contained in this </w:t>
      </w:r>
      <w:bookmarkStart w:id="4" w:name="_GoBack"/>
      <w:bookmarkEnd w:id="4"/>
      <w:r w:rsidRPr="00BB7040">
        <w:rPr>
          <w:rFonts w:cs="Arial"/>
          <w:sz w:val="22"/>
          <w:szCs w:val="22"/>
        </w:rPr>
        <w:t>application is correct and complete.</w:t>
      </w:r>
    </w:p>
    <w:p w14:paraId="6BF0043B" w14:textId="77777777" w:rsidR="00C424AC" w:rsidRPr="00BB7040" w:rsidRDefault="00C424AC" w:rsidP="00C424AC">
      <w:pPr>
        <w:rPr>
          <w:b/>
        </w:rPr>
      </w:pPr>
    </w:p>
    <w:p w14:paraId="71DF4EDB" w14:textId="77777777" w:rsidR="00C424AC" w:rsidRPr="00BB7040" w:rsidRDefault="00C424AC" w:rsidP="00C424AC">
      <w:pPr>
        <w:rPr>
          <w:b/>
        </w:rPr>
      </w:pPr>
      <w:r w:rsidRPr="00BB7040">
        <w:rPr>
          <w:b/>
        </w:rPr>
        <w:t>________________________________</w:t>
      </w:r>
      <w:r w:rsidRPr="00BB7040">
        <w:rPr>
          <w:b/>
        </w:rPr>
        <w:tab/>
      </w:r>
      <w:r w:rsidRPr="00BB7040">
        <w:rPr>
          <w:b/>
        </w:rPr>
        <w:tab/>
        <w:t>_______</w:t>
      </w:r>
      <w:r w:rsidRPr="00BB7040">
        <w:rPr>
          <w:b/>
        </w:rPr>
        <w:tab/>
        <w:t>_______________________________</w:t>
      </w:r>
    </w:p>
    <w:p w14:paraId="1EE1187A" w14:textId="77777777" w:rsidR="00C424AC" w:rsidRPr="00BB7040" w:rsidRDefault="00C424AC" w:rsidP="00C424AC">
      <w:pPr>
        <w:tabs>
          <w:tab w:val="left" w:pos="4500"/>
        </w:tabs>
        <w:rPr>
          <w:b/>
        </w:rPr>
      </w:pPr>
      <w:r w:rsidRPr="00BB7040">
        <w:rPr>
          <w:b/>
        </w:rPr>
        <w:t>Applicant’s Authorizing Signature</w:t>
      </w:r>
      <w:r w:rsidRPr="00BB7040">
        <w:rPr>
          <w:b/>
        </w:rPr>
        <w:tab/>
        <w:t xml:space="preserve">Date </w:t>
      </w:r>
      <w:r w:rsidRPr="00BB7040">
        <w:rPr>
          <w:b/>
        </w:rPr>
        <w:tab/>
      </w:r>
      <w:r w:rsidRPr="00BB7040">
        <w:rPr>
          <w:b/>
        </w:rPr>
        <w:tab/>
        <w:t>Print Name</w:t>
      </w:r>
    </w:p>
    <w:p w14:paraId="3C74CFF8" w14:textId="77777777" w:rsidR="00C424AC" w:rsidRPr="00BB7040" w:rsidRDefault="00C424AC" w:rsidP="00C424AC">
      <w:pPr>
        <w:rPr>
          <w:b/>
        </w:rPr>
      </w:pPr>
    </w:p>
    <w:p w14:paraId="685B3A27" w14:textId="77777777" w:rsidR="00C424AC" w:rsidRPr="00BB7040" w:rsidRDefault="00C424AC" w:rsidP="00C424AC">
      <w:pPr>
        <w:rPr>
          <w:b/>
        </w:rPr>
      </w:pPr>
      <w:r w:rsidRPr="00BB7040">
        <w:rPr>
          <w:b/>
        </w:rPr>
        <w:t>________________________________</w:t>
      </w:r>
      <w:r w:rsidRPr="00BB7040">
        <w:rPr>
          <w:b/>
        </w:rPr>
        <w:tab/>
      </w:r>
      <w:r w:rsidRPr="00BB7040">
        <w:rPr>
          <w:b/>
        </w:rPr>
        <w:tab/>
        <w:t>_______</w:t>
      </w:r>
      <w:r w:rsidRPr="00BB7040">
        <w:rPr>
          <w:b/>
        </w:rPr>
        <w:tab/>
        <w:t>_______________________________</w:t>
      </w:r>
    </w:p>
    <w:p w14:paraId="0ED2DAF0" w14:textId="77777777" w:rsidR="00C424AC" w:rsidRPr="00BB7040" w:rsidRDefault="00C424AC" w:rsidP="00C424AC">
      <w:pPr>
        <w:tabs>
          <w:tab w:val="left" w:pos="4500"/>
        </w:tabs>
        <w:rPr>
          <w:b/>
        </w:rPr>
      </w:pPr>
      <w:r w:rsidRPr="00BB7040">
        <w:rPr>
          <w:b/>
        </w:rPr>
        <w:t>Project Coordinator* Signature</w:t>
      </w:r>
      <w:r w:rsidRPr="00BB7040">
        <w:rPr>
          <w:b/>
        </w:rPr>
        <w:tab/>
        <w:t xml:space="preserve">Date </w:t>
      </w:r>
      <w:r w:rsidRPr="00BB7040">
        <w:rPr>
          <w:b/>
        </w:rPr>
        <w:tab/>
      </w:r>
      <w:r w:rsidRPr="00BB7040">
        <w:rPr>
          <w:b/>
        </w:rPr>
        <w:tab/>
        <w:t>Print Name</w:t>
      </w:r>
    </w:p>
    <w:p w14:paraId="4A25EAD3" w14:textId="77777777" w:rsidR="00C424AC" w:rsidRDefault="00C424AC" w:rsidP="00C424AC">
      <w:pPr>
        <w:rPr>
          <w:b/>
        </w:rPr>
      </w:pPr>
    </w:p>
    <w:p w14:paraId="2BAE7EFD" w14:textId="77777777" w:rsidR="00242523" w:rsidRDefault="00C424AC">
      <w:r w:rsidRPr="00BB7040">
        <w:rPr>
          <w:b/>
        </w:rPr>
        <w:t>*Project Coordinator is the person taking responsibility for oversight and implementation of the grant activities, i.e., Executive Director.</w:t>
      </w:r>
    </w:p>
    <w:sectPr w:rsidR="00242523" w:rsidSect="00C424AC">
      <w:footerReference w:type="default" r:id="rId10"/>
      <w:pgSz w:w="12240" w:h="15840"/>
      <w:pgMar w:top="720" w:right="1440" w:bottom="72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76C6C" w14:textId="77777777" w:rsidR="005A0CB5" w:rsidRDefault="005A0CB5" w:rsidP="00C424AC">
      <w:r>
        <w:separator/>
      </w:r>
    </w:p>
  </w:endnote>
  <w:endnote w:type="continuationSeparator" w:id="0">
    <w:p w14:paraId="18C52421" w14:textId="77777777" w:rsidR="005A0CB5" w:rsidRDefault="005A0CB5" w:rsidP="00C4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4CEE6" w14:textId="77777777" w:rsidR="00C424AC" w:rsidRDefault="00C424AC">
    <w:pPr>
      <w:pStyle w:val="Footer"/>
    </w:pPr>
  </w:p>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4131"/>
      <w:gridCol w:w="1581"/>
      <w:gridCol w:w="3648"/>
    </w:tblGrid>
    <w:tr w:rsidR="00C424AC" w:rsidRPr="00937FFC" w14:paraId="4B8B2CC3" w14:textId="77777777" w:rsidTr="00161B2C">
      <w:trPr>
        <w:cantSplit/>
        <w:trHeight w:val="633"/>
        <w:tblHeader/>
      </w:trPr>
      <w:tc>
        <w:tcPr>
          <w:tcW w:w="4248" w:type="dxa"/>
        </w:tcPr>
        <w:p w14:paraId="63C22DB9" w14:textId="77777777" w:rsidR="00C424AC" w:rsidRPr="00C424AC" w:rsidRDefault="00C424AC" w:rsidP="00C424AC">
          <w:pPr>
            <w:pStyle w:val="Footer"/>
            <w:rPr>
              <w:sz w:val="20"/>
              <w:szCs w:val="20"/>
            </w:rPr>
          </w:pPr>
          <w:r w:rsidRPr="00C424AC">
            <w:rPr>
              <w:sz w:val="20"/>
              <w:szCs w:val="20"/>
            </w:rPr>
            <w:t>Workforce Innovation and Opportunity Act</w:t>
          </w:r>
          <w:r w:rsidRPr="00C424AC">
            <w:rPr>
              <w:sz w:val="20"/>
              <w:szCs w:val="20"/>
            </w:rPr>
            <w:br/>
            <w:t>Grant Application 2020-2022</w:t>
          </w:r>
        </w:p>
      </w:tc>
      <w:tc>
        <w:tcPr>
          <w:tcW w:w="1620" w:type="dxa"/>
        </w:tcPr>
        <w:p w14:paraId="2B610466" w14:textId="77777777" w:rsidR="00C424AC" w:rsidRPr="00C424AC" w:rsidRDefault="00C424AC" w:rsidP="00C424AC">
          <w:pPr>
            <w:pStyle w:val="Footer"/>
            <w:rPr>
              <w:sz w:val="20"/>
              <w:szCs w:val="20"/>
            </w:rPr>
          </w:pPr>
          <w:r w:rsidRPr="00C424AC">
            <w:rPr>
              <w:sz w:val="20"/>
              <w:szCs w:val="20"/>
            </w:rPr>
            <w:t xml:space="preserve">Page </w:t>
          </w:r>
          <w:r w:rsidRPr="00C424AC">
            <w:rPr>
              <w:b/>
              <w:sz w:val="20"/>
              <w:szCs w:val="20"/>
            </w:rPr>
            <w:fldChar w:fldCharType="begin"/>
          </w:r>
          <w:r w:rsidRPr="00C424AC">
            <w:rPr>
              <w:b/>
              <w:sz w:val="20"/>
              <w:szCs w:val="20"/>
            </w:rPr>
            <w:instrText xml:space="preserve"> PAGE  \* Arabic  \* MERGEFORMAT </w:instrText>
          </w:r>
          <w:r w:rsidRPr="00C424AC">
            <w:rPr>
              <w:b/>
              <w:sz w:val="20"/>
              <w:szCs w:val="20"/>
            </w:rPr>
            <w:fldChar w:fldCharType="separate"/>
          </w:r>
          <w:r w:rsidRPr="00C424AC">
            <w:rPr>
              <w:b/>
              <w:noProof/>
              <w:sz w:val="20"/>
              <w:szCs w:val="20"/>
            </w:rPr>
            <w:t>2</w:t>
          </w:r>
          <w:r w:rsidRPr="00C424AC">
            <w:rPr>
              <w:b/>
              <w:sz w:val="20"/>
              <w:szCs w:val="20"/>
            </w:rPr>
            <w:fldChar w:fldCharType="end"/>
          </w:r>
          <w:r w:rsidRPr="00C424AC">
            <w:rPr>
              <w:sz w:val="20"/>
              <w:szCs w:val="20"/>
            </w:rPr>
            <w:t xml:space="preserve"> of </w:t>
          </w:r>
          <w:r w:rsidRPr="00C424AC">
            <w:rPr>
              <w:b/>
              <w:noProof/>
              <w:sz w:val="20"/>
              <w:szCs w:val="20"/>
            </w:rPr>
            <w:fldChar w:fldCharType="begin"/>
          </w:r>
          <w:r w:rsidRPr="00C424AC">
            <w:rPr>
              <w:b/>
              <w:noProof/>
              <w:sz w:val="20"/>
              <w:szCs w:val="20"/>
            </w:rPr>
            <w:instrText xml:space="preserve"> NUMPAGES  \* Arabic  \* MERGEFORMAT </w:instrText>
          </w:r>
          <w:r w:rsidRPr="00C424AC">
            <w:rPr>
              <w:b/>
              <w:noProof/>
              <w:sz w:val="20"/>
              <w:szCs w:val="20"/>
            </w:rPr>
            <w:fldChar w:fldCharType="separate"/>
          </w:r>
          <w:r w:rsidRPr="00C424AC">
            <w:rPr>
              <w:b/>
              <w:noProof/>
              <w:sz w:val="20"/>
              <w:szCs w:val="20"/>
            </w:rPr>
            <w:t>2</w:t>
          </w:r>
          <w:r w:rsidRPr="00C424AC">
            <w:rPr>
              <w:b/>
              <w:noProof/>
              <w:sz w:val="20"/>
              <w:szCs w:val="20"/>
            </w:rPr>
            <w:fldChar w:fldCharType="end"/>
          </w:r>
        </w:p>
      </w:tc>
      <w:tc>
        <w:tcPr>
          <w:tcW w:w="3708" w:type="dxa"/>
        </w:tcPr>
        <w:p w14:paraId="43F29000" w14:textId="77777777" w:rsidR="00C424AC" w:rsidRPr="00937FFC" w:rsidRDefault="00C424AC" w:rsidP="00C424AC">
          <w:pPr>
            <w:pStyle w:val="Footer"/>
            <w:jc w:val="right"/>
            <w:rPr>
              <w:szCs w:val="18"/>
            </w:rPr>
          </w:pPr>
          <w:r w:rsidRPr="00937FFC">
            <w:rPr>
              <w:noProof/>
            </w:rPr>
            <w:drawing>
              <wp:inline distT="0" distB="0" distL="0" distR="0" wp14:anchorId="3892B743" wp14:editId="6F8D4BFF">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354109BC" w14:textId="77777777" w:rsidR="00C424AC" w:rsidRDefault="00C424AC">
    <w:pPr>
      <w:pStyle w:val="Footer"/>
    </w:pPr>
  </w:p>
  <w:p w14:paraId="1B1F436C" w14:textId="77777777" w:rsidR="00C424AC" w:rsidRDefault="00C42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CC9C9" w14:textId="77777777" w:rsidR="005A0CB5" w:rsidRDefault="005A0CB5" w:rsidP="00C424AC">
      <w:r>
        <w:separator/>
      </w:r>
    </w:p>
  </w:footnote>
  <w:footnote w:type="continuationSeparator" w:id="0">
    <w:p w14:paraId="44065FA8" w14:textId="77777777" w:rsidR="005A0CB5" w:rsidRDefault="005A0CB5" w:rsidP="00C42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45A53"/>
    <w:multiLevelType w:val="hybridMultilevel"/>
    <w:tmpl w:val="0172EEF4"/>
    <w:lvl w:ilvl="0" w:tplc="899A69F4">
      <w:start w:val="1"/>
      <w:numFmt w:val="bullet"/>
      <w:pStyle w:val="AOEBulletedLis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AC"/>
    <w:rsid w:val="001C27A3"/>
    <w:rsid w:val="001F6E96"/>
    <w:rsid w:val="002626C3"/>
    <w:rsid w:val="005A0CB5"/>
    <w:rsid w:val="00C424AC"/>
    <w:rsid w:val="00E82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44410"/>
  <w15:chartTrackingRefBased/>
  <w15:docId w15:val="{40169574-0F99-4F8D-8685-732DEEA0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AOE - Normal"/>
    <w:qFormat/>
    <w:rsid w:val="00C424AC"/>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C424AC"/>
    <w:pPr>
      <w:spacing w:before="240"/>
      <w:outlineLvl w:val="0"/>
    </w:pPr>
    <w:rPr>
      <w:rFonts w:ascii="Franklin Gothic Demi Cond" w:hAnsi="Franklin Gothic Demi Cond"/>
      <w:bCs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4AC"/>
    <w:pPr>
      <w:tabs>
        <w:tab w:val="center" w:pos="4680"/>
        <w:tab w:val="right" w:pos="9360"/>
      </w:tabs>
    </w:pPr>
  </w:style>
  <w:style w:type="character" w:customStyle="1" w:styleId="HeaderChar">
    <w:name w:val="Header Char"/>
    <w:basedOn w:val="DefaultParagraphFont"/>
    <w:link w:val="Header"/>
    <w:uiPriority w:val="99"/>
    <w:rsid w:val="00C424AC"/>
  </w:style>
  <w:style w:type="paragraph" w:styleId="Footer">
    <w:name w:val="footer"/>
    <w:basedOn w:val="Normal"/>
    <w:link w:val="FooterChar"/>
    <w:uiPriority w:val="99"/>
    <w:unhideWhenUsed/>
    <w:rsid w:val="00C424AC"/>
    <w:pPr>
      <w:tabs>
        <w:tab w:val="center" w:pos="4680"/>
        <w:tab w:val="right" w:pos="9360"/>
      </w:tabs>
    </w:pPr>
  </w:style>
  <w:style w:type="character" w:customStyle="1" w:styleId="FooterChar">
    <w:name w:val="Footer Char"/>
    <w:basedOn w:val="DefaultParagraphFont"/>
    <w:link w:val="Footer"/>
    <w:uiPriority w:val="99"/>
    <w:rsid w:val="00C424AC"/>
  </w:style>
  <w:style w:type="table" w:styleId="TableGrid">
    <w:name w:val="Table Grid"/>
    <w:basedOn w:val="TableNormal"/>
    <w:uiPriority w:val="59"/>
    <w:rsid w:val="00C42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AOE - Heading 1 Char"/>
    <w:basedOn w:val="DefaultParagraphFont"/>
    <w:link w:val="Heading1"/>
    <w:uiPriority w:val="9"/>
    <w:rsid w:val="00C424AC"/>
    <w:rPr>
      <w:rFonts w:ascii="Franklin Gothic Demi Cond" w:eastAsia="Times New Roman" w:hAnsi="Franklin Gothic Demi Cond" w:cs="Calibri"/>
      <w:sz w:val="28"/>
    </w:rPr>
  </w:style>
  <w:style w:type="paragraph" w:customStyle="1" w:styleId="AOEBulletedList">
    <w:name w:val="AOE Bulleted List"/>
    <w:basedOn w:val="ListParagraph"/>
    <w:link w:val="AOEBulletedListChar"/>
    <w:qFormat/>
    <w:rsid w:val="00C424AC"/>
    <w:pPr>
      <w:numPr>
        <w:numId w:val="1"/>
      </w:numPr>
      <w:spacing w:after="200" w:line="252" w:lineRule="auto"/>
    </w:pPr>
    <w:rPr>
      <w:rFonts w:eastAsiaTheme="minorEastAsia"/>
    </w:rPr>
  </w:style>
  <w:style w:type="character" w:customStyle="1" w:styleId="AOEBulletedListChar">
    <w:name w:val="AOE Bulleted List Char"/>
    <w:basedOn w:val="DefaultParagraphFont"/>
    <w:link w:val="AOEBulletedList"/>
    <w:rsid w:val="00C424AC"/>
    <w:rPr>
      <w:rFonts w:ascii="Palatino Linotype" w:eastAsiaTheme="minorEastAsia" w:hAnsi="Palatino Linotype" w:cs="Calibri"/>
      <w:bCs/>
    </w:rPr>
  </w:style>
  <w:style w:type="paragraph" w:styleId="BodyTextIndent2">
    <w:name w:val="Body Text Indent 2"/>
    <w:basedOn w:val="Normal"/>
    <w:link w:val="BodyTextIndent2Char"/>
    <w:uiPriority w:val="99"/>
    <w:unhideWhenUsed/>
    <w:rsid w:val="00C424AC"/>
    <w:pPr>
      <w:spacing w:after="120" w:line="480" w:lineRule="auto"/>
      <w:ind w:left="360"/>
    </w:pPr>
    <w:rPr>
      <w:rFonts w:cs="Times New Roman"/>
      <w:bCs w:val="0"/>
      <w:sz w:val="24"/>
      <w:szCs w:val="24"/>
    </w:rPr>
  </w:style>
  <w:style w:type="character" w:customStyle="1" w:styleId="BodyTextIndent2Char">
    <w:name w:val="Body Text Indent 2 Char"/>
    <w:basedOn w:val="DefaultParagraphFont"/>
    <w:link w:val="BodyTextIndent2"/>
    <w:uiPriority w:val="99"/>
    <w:rsid w:val="00C424AC"/>
    <w:rPr>
      <w:rFonts w:ascii="Palatino Linotype" w:eastAsia="Times New Roman" w:hAnsi="Palatino Linotype" w:cs="Times New Roman"/>
      <w:sz w:val="24"/>
      <w:szCs w:val="24"/>
    </w:rPr>
  </w:style>
  <w:style w:type="paragraph" w:styleId="ListParagraph">
    <w:name w:val="List Paragraph"/>
    <w:basedOn w:val="Normal"/>
    <w:uiPriority w:val="34"/>
    <w:qFormat/>
    <w:rsid w:val="00C42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98B5988A852C4DBB11E282D575DB36" ma:contentTypeVersion="10" ma:contentTypeDescription="Create a new document." ma:contentTypeScope="" ma:versionID="c7599ebea0ce28480ef1dd6f89c42a9d">
  <xsd:schema xmlns:xsd="http://www.w3.org/2001/XMLSchema" xmlns:xs="http://www.w3.org/2001/XMLSchema" xmlns:p="http://schemas.microsoft.com/office/2006/metadata/properties" xmlns:ns2="3cfe686b-f520-40a1-8423-e0444a61d06f" xmlns:ns3="2039a670-5f3d-4a46-b3fd-f00d678c3512" targetNamespace="http://schemas.microsoft.com/office/2006/metadata/properties" ma:root="true" ma:fieldsID="f185bc23bf3bf9a3e5f2e564b6cb751e" ns2:_="" ns3:_="">
    <xsd:import namespace="3cfe686b-f520-40a1-8423-e0444a61d06f"/>
    <xsd:import namespace="2039a670-5f3d-4a46-b3fd-f00d678c3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e686b-f520-40a1-8423-e0444a61d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39a670-5f3d-4a46-b3fd-f00d678c35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C129D8-CE5A-42AB-8598-AE646D3AE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e686b-f520-40a1-8423-e0444a61d06f"/>
    <ds:schemaRef ds:uri="2039a670-5f3d-4a46-b3fd-f00d678c3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54125E-B6C7-417A-8B41-4DB4800A4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82B0A0-B041-4C08-A1AC-5E8E27D9A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386</Words>
  <Characters>2199</Characters>
  <Application>Microsoft Office Word</Application>
  <DocSecurity>0</DocSecurity>
  <Lines>62</Lines>
  <Paragraphs>36</Paragraphs>
  <ScaleCrop>false</ScaleCrop>
  <HeadingPairs>
    <vt:vector size="2" baseType="variant">
      <vt:variant>
        <vt:lpstr>Title</vt:lpstr>
      </vt:variant>
      <vt:variant>
        <vt:i4>1</vt:i4>
      </vt:variant>
    </vt:vector>
  </HeadingPairs>
  <TitlesOfParts>
    <vt:vector size="1" baseType="lpstr">
      <vt:lpstr>Appendix D - Assurances and Signature Page</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 Assurances and Signature Page</dc:title>
  <dc:subject/>
  <dc:creator>Vermont Agency of Education</dc:creator>
  <cp:keywords/>
  <dc:description/>
  <cp:lastModifiedBy>Scott, Miranda</cp:lastModifiedBy>
  <cp:revision>3</cp:revision>
  <dcterms:created xsi:type="dcterms:W3CDTF">2020-02-04T19:52:00Z</dcterms:created>
  <dcterms:modified xsi:type="dcterms:W3CDTF">2020-02-04T20:46:00Z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0x0101009A98B5988A852C4DBB11E282D575DB36</vt:lpwstr>
  </property>
</Properties>
</file>