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835B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>VSBPE</w:t>
      </w:r>
    </w:p>
    <w:p w14:paraId="384919E5" w14:textId="551170C1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Date: </w:t>
      </w:r>
      <w:r w:rsidR="006911BB">
        <w:rPr>
          <w:rFonts w:ascii="Palatino Linotype" w:hAnsi="Palatino Linotype"/>
          <w:b/>
          <w:sz w:val="24"/>
          <w:szCs w:val="24"/>
        </w:rPr>
        <w:t xml:space="preserve">9 March </w:t>
      </w:r>
      <w:r w:rsidR="00BE7453">
        <w:rPr>
          <w:rFonts w:ascii="Palatino Linotype" w:hAnsi="Palatino Linotype"/>
          <w:b/>
          <w:sz w:val="24"/>
          <w:szCs w:val="24"/>
        </w:rPr>
        <w:t>2022</w:t>
      </w:r>
    </w:p>
    <w:p w14:paraId="677325E1" w14:textId="2F367F86" w:rsidR="005D1999" w:rsidRPr="004C0ED6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bookmarkStart w:id="0" w:name="_Hlk25579822"/>
      <w:r w:rsidR="005C2086">
        <w:rPr>
          <w:rFonts w:ascii="Palatino Linotype" w:hAnsi="Palatino Linotype"/>
          <w:b/>
          <w:sz w:val="24"/>
          <w:szCs w:val="24"/>
        </w:rPr>
        <w:t>Basic Competencies from Multiple Sources</w:t>
      </w:r>
    </w:p>
    <w:bookmarkEnd w:id="0"/>
    <w:p w14:paraId="478111B6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3D915F50" w14:textId="7176A840" w:rsidR="005D1999" w:rsidRPr="00213F24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r w:rsidRPr="00006EC1">
        <w:rPr>
          <w:rFonts w:ascii="Palatino Linotype" w:hAnsi="Palatino Linotype"/>
          <w:sz w:val="24"/>
          <w:szCs w:val="24"/>
        </w:rPr>
        <w:t>Shall the VSBPE</w:t>
      </w:r>
      <w:r w:rsidR="005E7622">
        <w:rPr>
          <w:rFonts w:ascii="Palatino Linotype" w:hAnsi="Palatino Linotype"/>
          <w:sz w:val="24"/>
          <w:szCs w:val="24"/>
        </w:rPr>
        <w:t xml:space="preserve"> </w:t>
      </w:r>
      <w:r w:rsidR="005C2086">
        <w:rPr>
          <w:rFonts w:ascii="Palatino Linotype" w:hAnsi="Palatino Linotype"/>
          <w:sz w:val="24"/>
          <w:szCs w:val="24"/>
        </w:rPr>
        <w:t xml:space="preserve">allow educators to use multiple </w:t>
      </w:r>
      <w:r w:rsidR="002E4902">
        <w:rPr>
          <w:rFonts w:ascii="Palatino Linotype" w:hAnsi="Palatino Linotype"/>
          <w:sz w:val="24"/>
          <w:szCs w:val="24"/>
        </w:rPr>
        <w:t>sources (“mix and match”) to demonstrate competency with required basic skills</w:t>
      </w:r>
      <w:r w:rsidR="00537D47">
        <w:rPr>
          <w:rFonts w:ascii="Palatino Linotype" w:hAnsi="Palatino Linotype"/>
          <w:sz w:val="24"/>
          <w:szCs w:val="24"/>
        </w:rPr>
        <w:t>?</w:t>
      </w:r>
    </w:p>
    <w:p w14:paraId="0D0264FF" w14:textId="77777777" w:rsidR="005D1999" w:rsidRPr="00DA6056" w:rsidRDefault="005D1999" w:rsidP="005D1999">
      <w:pPr>
        <w:spacing w:after="0"/>
        <w:rPr>
          <w:b/>
        </w:rPr>
      </w:pPr>
      <w:r w:rsidRPr="00DA6056">
        <w:rPr>
          <w:b/>
          <w:noProof/>
        </w:rPr>
        <mc:AlternateContent>
          <mc:Choice Requires="wps">
            <w:drawing>
              <wp:inline distT="0" distB="0" distL="0" distR="0" wp14:anchorId="4B1B96AA" wp14:editId="00D11E4D">
                <wp:extent cx="6309360" cy="1000125"/>
                <wp:effectExtent l="0" t="0" r="1524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E29A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006EC1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AGENCY RECOMMENDED ACTION:</w:t>
                            </w:r>
                          </w:p>
                          <w:p w14:paraId="544A2D0D" w14:textId="3D5EA30A" w:rsidR="00F53B4F" w:rsidRPr="00F53B4F" w:rsidRDefault="00997EFC" w:rsidP="00F53B4F">
                            <w:pPr>
                              <w:rPr>
                                <w:rFonts w:ascii="Palatino Linotype" w:hAnsi="Palatino Linotype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="007B0997" w:rsidRPr="00006EC1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the VSBPE</w:t>
                            </w:r>
                            <w:r w:rsidR="007B0997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4902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allow educators to use multiple sources (“mix and match”) to demonstrate competency with required basic skills</w:t>
                            </w:r>
                          </w:p>
                          <w:p w14:paraId="18CABFAD" w14:textId="3CAF31C7" w:rsidR="005D1999" w:rsidRPr="00E26F2F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1B9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6.8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">
                <v:textbox>
                  <w:txbxContent>
                    <w:p w14:paraId="172DE29A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006EC1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AGENCY RECOMMENDED ACTION:</w:t>
                      </w:r>
                    </w:p>
                    <w:p w14:paraId="544A2D0D" w14:textId="3D5EA30A" w:rsidR="00F53B4F" w:rsidRPr="00F53B4F" w:rsidRDefault="00997EFC" w:rsidP="00F53B4F">
                      <w:pPr>
                        <w:rPr>
                          <w:rFonts w:ascii="Palatino Linotype" w:hAnsi="Palatino Linotype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That </w:t>
                      </w:r>
                      <w:r w:rsidR="007B0997" w:rsidRPr="00006EC1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the VSBPE</w:t>
                      </w:r>
                      <w:r w:rsidR="007B0997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 </w:t>
                      </w:r>
                      <w:r w:rsidR="002E4902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allow educators to use multiple sources (“mix and match”) to demonstrate competency with required basic skills</w:t>
                      </w:r>
                    </w:p>
                    <w:p w14:paraId="18CABFAD" w14:textId="3CAF31C7" w:rsidR="005D1999" w:rsidRPr="00E26F2F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E93173" w14:textId="77777777" w:rsidR="005D1999" w:rsidRDefault="005D1999" w:rsidP="005D1999">
      <w:pPr>
        <w:spacing w:after="0"/>
        <w:rPr>
          <w:b/>
        </w:rPr>
      </w:pPr>
    </w:p>
    <w:p w14:paraId="109E6A6D" w14:textId="262D67BD" w:rsidR="005E063B" w:rsidRPr="008033B3" w:rsidRDefault="005D1999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  <w:r w:rsidRPr="000B675A">
        <w:rPr>
          <w:rFonts w:ascii="Palatino Linotype" w:hAnsi="Palatino Linotype"/>
          <w:b/>
          <w:sz w:val="24"/>
          <w:szCs w:val="24"/>
        </w:rPr>
        <w:t xml:space="preserve">BACKGROUND: </w:t>
      </w:r>
      <w:r w:rsidR="00464756">
        <w:rPr>
          <w:rFonts w:ascii="Palatino Linotype" w:hAnsi="Palatino Linotype"/>
          <w:bCs/>
          <w:sz w:val="24"/>
          <w:szCs w:val="24"/>
        </w:rPr>
        <w:t xml:space="preserve">By </w:t>
      </w:r>
      <w:r w:rsidR="002E4902">
        <w:rPr>
          <w:rFonts w:ascii="Palatino Linotype" w:hAnsi="Palatino Linotype"/>
          <w:bCs/>
          <w:sz w:val="24"/>
          <w:szCs w:val="24"/>
        </w:rPr>
        <w:t>practice</w:t>
      </w:r>
      <w:r w:rsidR="00464756">
        <w:rPr>
          <w:rFonts w:ascii="Palatino Linotype" w:hAnsi="Palatino Linotype"/>
          <w:bCs/>
          <w:sz w:val="24"/>
          <w:szCs w:val="24"/>
        </w:rPr>
        <w:t xml:space="preserve">, </w:t>
      </w:r>
      <w:r w:rsidR="002E4902">
        <w:rPr>
          <w:rFonts w:ascii="Palatino Linotype" w:hAnsi="Palatino Linotype"/>
          <w:bCs/>
          <w:sz w:val="24"/>
          <w:szCs w:val="24"/>
        </w:rPr>
        <w:t xml:space="preserve">the office </w:t>
      </w:r>
      <w:r w:rsidR="009910D1">
        <w:rPr>
          <w:rFonts w:ascii="Palatino Linotype" w:hAnsi="Palatino Linotype"/>
          <w:bCs/>
          <w:sz w:val="24"/>
          <w:szCs w:val="24"/>
        </w:rPr>
        <w:t xml:space="preserve">requires that demonstration of basic competencies </w:t>
      </w:r>
      <w:r w:rsidR="00386BB5">
        <w:rPr>
          <w:rFonts w:ascii="Palatino Linotype" w:hAnsi="Palatino Linotype"/>
          <w:bCs/>
          <w:sz w:val="24"/>
          <w:szCs w:val="24"/>
        </w:rPr>
        <w:t xml:space="preserve">for initial licensure </w:t>
      </w:r>
      <w:r w:rsidR="009910D1">
        <w:rPr>
          <w:rFonts w:ascii="Palatino Linotype" w:hAnsi="Palatino Linotype"/>
          <w:bCs/>
          <w:sz w:val="24"/>
          <w:szCs w:val="24"/>
        </w:rPr>
        <w:t>come from the same source.</w:t>
      </w:r>
      <w:r w:rsidR="005E063B">
        <w:rPr>
          <w:rFonts w:ascii="Palatino Linotype" w:hAnsi="Palatino Linotype"/>
          <w:bCs/>
          <w:sz w:val="24"/>
          <w:szCs w:val="24"/>
        </w:rPr>
        <w:t xml:space="preserve">  For example, an educator</w:t>
      </w:r>
      <w:r w:rsidR="00DC12EC">
        <w:rPr>
          <w:rFonts w:ascii="Palatino Linotype" w:hAnsi="Palatino Linotype"/>
          <w:bCs/>
          <w:sz w:val="24"/>
          <w:szCs w:val="24"/>
        </w:rPr>
        <w:t xml:space="preserve"> cannot use a passing score from the math section of the SAT along with a passing score from the </w:t>
      </w:r>
      <w:r w:rsidR="00386BB5">
        <w:rPr>
          <w:rFonts w:ascii="Palatino Linotype" w:hAnsi="Palatino Linotype"/>
          <w:bCs/>
          <w:sz w:val="24"/>
          <w:szCs w:val="24"/>
        </w:rPr>
        <w:t xml:space="preserve">reading section of the Praxis Core.  This </w:t>
      </w:r>
      <w:r w:rsidR="00823E20">
        <w:rPr>
          <w:rFonts w:ascii="Palatino Linotype" w:hAnsi="Palatino Linotype"/>
          <w:bCs/>
          <w:sz w:val="24"/>
          <w:szCs w:val="24"/>
        </w:rPr>
        <w:t xml:space="preserve">is an office practice that lives neither in rule nor </w:t>
      </w:r>
      <w:r w:rsidR="005E063B">
        <w:rPr>
          <w:rFonts w:ascii="Palatino Linotype" w:hAnsi="Palatino Linotype"/>
          <w:bCs/>
          <w:sz w:val="24"/>
          <w:szCs w:val="24"/>
        </w:rPr>
        <w:t>policy</w:t>
      </w:r>
      <w:r w:rsidR="00823E20">
        <w:rPr>
          <w:rFonts w:ascii="Palatino Linotype" w:hAnsi="Palatino Linotype"/>
          <w:bCs/>
          <w:sz w:val="24"/>
          <w:szCs w:val="24"/>
        </w:rPr>
        <w:t xml:space="preserve">.  This </w:t>
      </w:r>
      <w:r w:rsidR="00DE1BFB">
        <w:rPr>
          <w:rFonts w:ascii="Palatino Linotype" w:hAnsi="Palatino Linotype"/>
          <w:bCs/>
          <w:sz w:val="24"/>
          <w:szCs w:val="24"/>
        </w:rPr>
        <w:t>board action serves as a clarification of practice moving forward.</w:t>
      </w:r>
    </w:p>
    <w:p w14:paraId="12ADACDD" w14:textId="6E8D97C7" w:rsidR="00CE0855" w:rsidRDefault="00CE0855" w:rsidP="0017674C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70D1FB92" w14:textId="15A30600" w:rsidR="00821ACB" w:rsidRDefault="00CE0855" w:rsidP="00C059FA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RATIONALE:</w:t>
      </w:r>
      <w:r w:rsidR="00E057FE">
        <w:rPr>
          <w:rFonts w:ascii="Palatino Linotype" w:hAnsi="Palatino Linotype"/>
          <w:b/>
          <w:sz w:val="24"/>
          <w:szCs w:val="24"/>
        </w:rPr>
        <w:t xml:space="preserve">  </w:t>
      </w:r>
      <w:r w:rsidR="00DE1BFB" w:rsidRPr="00DE1BFB">
        <w:rPr>
          <w:rFonts w:ascii="Palatino Linotype" w:hAnsi="Palatino Linotype"/>
          <w:bCs/>
          <w:i/>
          <w:iCs/>
          <w:sz w:val="24"/>
          <w:szCs w:val="24"/>
        </w:rPr>
        <w:t>De facto</w:t>
      </w:r>
      <w:r w:rsidR="00DE1BFB">
        <w:rPr>
          <w:rFonts w:ascii="Palatino Linotype" w:hAnsi="Palatino Linotype"/>
          <w:bCs/>
          <w:sz w:val="24"/>
          <w:szCs w:val="24"/>
        </w:rPr>
        <w:t xml:space="preserve">, the office already accepts demonstration of basic skills from multiple </w:t>
      </w:r>
      <w:r w:rsidR="002F59FC">
        <w:rPr>
          <w:rFonts w:ascii="Palatino Linotype" w:hAnsi="Palatino Linotype"/>
          <w:bCs/>
          <w:sz w:val="24"/>
          <w:szCs w:val="24"/>
        </w:rPr>
        <w:t>sources (“mix and match”), as this practice is common in other states. Therefore, educators applying for licensure through reciprocity may be demonstrating competency with basic skills by mixing and matching.</w:t>
      </w:r>
    </w:p>
    <w:p w14:paraId="4AA1773F" w14:textId="77777777" w:rsidR="00E26356" w:rsidRDefault="00E26356" w:rsidP="00C059FA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57F8E114" w14:textId="4A91951A" w:rsidR="00E26356" w:rsidRDefault="00E26356" w:rsidP="00C059FA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Initially, the office thought that it would be too logistically difficult to track a mix and match approach.  Upon further review, they determined that</w:t>
      </w:r>
      <w:r w:rsidR="000D0074">
        <w:rPr>
          <w:rFonts w:ascii="Palatino Linotype" w:hAnsi="Palatino Linotype"/>
          <w:bCs/>
          <w:sz w:val="24"/>
          <w:szCs w:val="24"/>
        </w:rPr>
        <w:t>, while a bit of additional work, it could be enacted with limited difficulty.</w:t>
      </w:r>
    </w:p>
    <w:p w14:paraId="1FF59543" w14:textId="77777777" w:rsidR="000D0074" w:rsidRDefault="000D0074" w:rsidP="00C059FA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0B022C26" w14:textId="2F0AA9DD" w:rsidR="00A45976" w:rsidRPr="00A45976" w:rsidRDefault="000D0074" w:rsidP="00C059FA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Allowing mixing and matching would </w:t>
      </w:r>
      <w:r w:rsidR="00207939">
        <w:rPr>
          <w:rFonts w:ascii="Palatino Linotype" w:hAnsi="Palatino Linotype"/>
          <w:bCs/>
          <w:sz w:val="24"/>
          <w:szCs w:val="24"/>
        </w:rPr>
        <w:t>reduce the financial burden on educators applying for initial licensure.  For example, a</w:t>
      </w:r>
      <w:r w:rsidR="005C2A07">
        <w:rPr>
          <w:rFonts w:ascii="Palatino Linotype" w:hAnsi="Palatino Linotype"/>
          <w:bCs/>
          <w:sz w:val="24"/>
          <w:szCs w:val="24"/>
        </w:rPr>
        <w:t>n applicant who has achieved a passing score on the SAT</w:t>
      </w:r>
      <w:r w:rsidR="004E762A">
        <w:rPr>
          <w:rFonts w:ascii="Palatino Linotype" w:hAnsi="Palatino Linotype"/>
          <w:bCs/>
          <w:sz w:val="24"/>
          <w:szCs w:val="24"/>
        </w:rPr>
        <w:t xml:space="preserve"> math</w:t>
      </w:r>
      <w:r w:rsidR="004668B8">
        <w:rPr>
          <w:rFonts w:ascii="Palatino Linotype" w:hAnsi="Palatino Linotype"/>
          <w:bCs/>
          <w:sz w:val="24"/>
          <w:szCs w:val="24"/>
        </w:rPr>
        <w:t xml:space="preserve"> would only have to register for </w:t>
      </w:r>
      <w:r w:rsidR="00172F1A">
        <w:rPr>
          <w:rFonts w:ascii="Palatino Linotype" w:hAnsi="Palatino Linotype"/>
          <w:bCs/>
          <w:sz w:val="24"/>
          <w:szCs w:val="24"/>
        </w:rPr>
        <w:t xml:space="preserve">the reading </w:t>
      </w:r>
      <w:r w:rsidR="004668B8">
        <w:rPr>
          <w:rFonts w:ascii="Palatino Linotype" w:hAnsi="Palatino Linotype"/>
          <w:bCs/>
          <w:sz w:val="24"/>
          <w:szCs w:val="24"/>
        </w:rPr>
        <w:t xml:space="preserve">subsection of the Praxis Core, should they </w:t>
      </w:r>
      <w:r w:rsidR="00E97DA0">
        <w:rPr>
          <w:rFonts w:ascii="Palatino Linotype" w:hAnsi="Palatino Linotype"/>
          <w:bCs/>
          <w:sz w:val="24"/>
          <w:szCs w:val="24"/>
        </w:rPr>
        <w:t>opt for demonstrating their competency by testing.</w:t>
      </w:r>
    </w:p>
    <w:sectPr w:rsidR="00A45976" w:rsidRPr="00A45976" w:rsidSect="00256309">
      <w:footerReference w:type="default" r:id="rId7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FE65" w14:textId="77777777" w:rsidR="00805A2E" w:rsidRDefault="00805A2E">
      <w:pPr>
        <w:spacing w:after="0" w:line="240" w:lineRule="auto"/>
      </w:pPr>
      <w:r>
        <w:separator/>
      </w:r>
    </w:p>
  </w:endnote>
  <w:endnote w:type="continuationSeparator" w:id="0">
    <w:p w14:paraId="5885AABB" w14:textId="77777777" w:rsidR="00805A2E" w:rsidRDefault="0080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5"/>
      <w:gridCol w:w="1586"/>
      <w:gridCol w:w="3639"/>
    </w:tblGrid>
    <w:tr w:rsidR="00796D5F" w14:paraId="1B1C8621" w14:textId="77777777" w:rsidTr="00F53994">
      <w:trPr>
        <w:cantSplit/>
        <w:trHeight w:val="633"/>
        <w:tblHeader/>
      </w:trPr>
      <w:tc>
        <w:tcPr>
          <w:tcW w:w="4248" w:type="dxa"/>
        </w:tcPr>
        <w:p w14:paraId="61E498E7" w14:textId="70F24EE9" w:rsidR="00982BDF" w:rsidRPr="00937FFC" w:rsidRDefault="001F46B1" w:rsidP="00796D5F">
          <w:pPr>
            <w:rPr>
              <w:sz w:val="20"/>
            </w:rPr>
          </w:pPr>
          <w:r>
            <w:rPr>
              <w:sz w:val="20"/>
            </w:rPr>
            <w:t>Policy F2 Revision Proposal 8-5-21</w:t>
          </w:r>
        </w:p>
      </w:tc>
      <w:tc>
        <w:tcPr>
          <w:tcW w:w="1620" w:type="dxa"/>
        </w:tcPr>
        <w:p w14:paraId="19CAC45D" w14:textId="77777777" w:rsidR="00796D5F" w:rsidRPr="00937FFC" w:rsidRDefault="00D978A4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3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Pr="00B521D2">
            <w:rPr>
              <w:b/>
              <w:noProof/>
              <w:sz w:val="20"/>
            </w:rPr>
            <w:t>3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12DBF396" w14:textId="77777777" w:rsidR="00796D5F" w:rsidRPr="00937FFC" w:rsidRDefault="00D978A4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4C902E1" wp14:editId="7E803CAA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526227" w14:textId="77777777" w:rsidR="00796D5F" w:rsidRDefault="00DF0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EAFC" w14:textId="77777777" w:rsidR="00805A2E" w:rsidRDefault="00805A2E">
      <w:pPr>
        <w:spacing w:after="0" w:line="240" w:lineRule="auto"/>
      </w:pPr>
      <w:r>
        <w:separator/>
      </w:r>
    </w:p>
  </w:footnote>
  <w:footnote w:type="continuationSeparator" w:id="0">
    <w:p w14:paraId="2F2A38FA" w14:textId="77777777" w:rsidR="00805A2E" w:rsidRDefault="00805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356"/>
    <w:multiLevelType w:val="hybridMultilevel"/>
    <w:tmpl w:val="7B0CE74A"/>
    <w:lvl w:ilvl="0" w:tplc="1FCE87A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13686"/>
    <w:multiLevelType w:val="hybridMultilevel"/>
    <w:tmpl w:val="2AF20A94"/>
    <w:lvl w:ilvl="0" w:tplc="8398BD0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712C"/>
    <w:multiLevelType w:val="hybridMultilevel"/>
    <w:tmpl w:val="D7E86C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9"/>
    <w:rsid w:val="00002B49"/>
    <w:rsid w:val="00015DC3"/>
    <w:rsid w:val="00035589"/>
    <w:rsid w:val="0004552B"/>
    <w:rsid w:val="00086426"/>
    <w:rsid w:val="000B465B"/>
    <w:rsid w:val="000C3ACA"/>
    <w:rsid w:val="000D0074"/>
    <w:rsid w:val="000D0141"/>
    <w:rsid w:val="000D6982"/>
    <w:rsid w:val="000F6BFF"/>
    <w:rsid w:val="0011006E"/>
    <w:rsid w:val="00142DB2"/>
    <w:rsid w:val="00153A74"/>
    <w:rsid w:val="001717A9"/>
    <w:rsid w:val="001722F4"/>
    <w:rsid w:val="00172F1A"/>
    <w:rsid w:val="0017674C"/>
    <w:rsid w:val="00177429"/>
    <w:rsid w:val="001B3859"/>
    <w:rsid w:val="001F46B1"/>
    <w:rsid w:val="00207939"/>
    <w:rsid w:val="00210ED5"/>
    <w:rsid w:val="00226F44"/>
    <w:rsid w:val="00241F6A"/>
    <w:rsid w:val="00281D49"/>
    <w:rsid w:val="002C390C"/>
    <w:rsid w:val="002C3B57"/>
    <w:rsid w:val="002D4EC9"/>
    <w:rsid w:val="002E444D"/>
    <w:rsid w:val="002E4902"/>
    <w:rsid w:val="002E65D4"/>
    <w:rsid w:val="002F1DD5"/>
    <w:rsid w:val="002F4B22"/>
    <w:rsid w:val="002F59FC"/>
    <w:rsid w:val="003219B5"/>
    <w:rsid w:val="00327EB2"/>
    <w:rsid w:val="003319D3"/>
    <w:rsid w:val="00386BB5"/>
    <w:rsid w:val="003B02B7"/>
    <w:rsid w:val="003B0BC4"/>
    <w:rsid w:val="003B1F0E"/>
    <w:rsid w:val="003B2D98"/>
    <w:rsid w:val="003D288A"/>
    <w:rsid w:val="003F1054"/>
    <w:rsid w:val="003F1CD1"/>
    <w:rsid w:val="003F40F4"/>
    <w:rsid w:val="003F4376"/>
    <w:rsid w:val="003F4EBF"/>
    <w:rsid w:val="004035F7"/>
    <w:rsid w:val="004046CA"/>
    <w:rsid w:val="00437D29"/>
    <w:rsid w:val="00445099"/>
    <w:rsid w:val="00457397"/>
    <w:rsid w:val="00461F7A"/>
    <w:rsid w:val="00464756"/>
    <w:rsid w:val="004668B8"/>
    <w:rsid w:val="0047283B"/>
    <w:rsid w:val="004B1F53"/>
    <w:rsid w:val="004B5A57"/>
    <w:rsid w:val="004C00B4"/>
    <w:rsid w:val="004C04EC"/>
    <w:rsid w:val="004C0C51"/>
    <w:rsid w:val="004C0ED6"/>
    <w:rsid w:val="004E762A"/>
    <w:rsid w:val="004F4B4E"/>
    <w:rsid w:val="00505157"/>
    <w:rsid w:val="00507A08"/>
    <w:rsid w:val="00513149"/>
    <w:rsid w:val="00514939"/>
    <w:rsid w:val="00535E22"/>
    <w:rsid w:val="00536B03"/>
    <w:rsid w:val="005378F4"/>
    <w:rsid w:val="00537D47"/>
    <w:rsid w:val="00582F68"/>
    <w:rsid w:val="0058301C"/>
    <w:rsid w:val="00590B7E"/>
    <w:rsid w:val="005A51D2"/>
    <w:rsid w:val="005B17FB"/>
    <w:rsid w:val="005B56A8"/>
    <w:rsid w:val="005C2086"/>
    <w:rsid w:val="005C2A07"/>
    <w:rsid w:val="005C73E7"/>
    <w:rsid w:val="005D1447"/>
    <w:rsid w:val="005D1999"/>
    <w:rsid w:val="005E063B"/>
    <w:rsid w:val="005E7622"/>
    <w:rsid w:val="00601B11"/>
    <w:rsid w:val="00632F07"/>
    <w:rsid w:val="0063527A"/>
    <w:rsid w:val="00636452"/>
    <w:rsid w:val="00637597"/>
    <w:rsid w:val="006519C6"/>
    <w:rsid w:val="00661EA0"/>
    <w:rsid w:val="0066780D"/>
    <w:rsid w:val="00687AD7"/>
    <w:rsid w:val="006911BB"/>
    <w:rsid w:val="00693146"/>
    <w:rsid w:val="006970B4"/>
    <w:rsid w:val="006B1D8E"/>
    <w:rsid w:val="006D1210"/>
    <w:rsid w:val="006F6967"/>
    <w:rsid w:val="00705421"/>
    <w:rsid w:val="00727B21"/>
    <w:rsid w:val="00734D11"/>
    <w:rsid w:val="00737B2A"/>
    <w:rsid w:val="007463A5"/>
    <w:rsid w:val="00763BA1"/>
    <w:rsid w:val="00785F96"/>
    <w:rsid w:val="00793A58"/>
    <w:rsid w:val="007950F3"/>
    <w:rsid w:val="007A6DF6"/>
    <w:rsid w:val="007B0997"/>
    <w:rsid w:val="007B4D66"/>
    <w:rsid w:val="007D55F3"/>
    <w:rsid w:val="008033B3"/>
    <w:rsid w:val="00805A2E"/>
    <w:rsid w:val="0081411F"/>
    <w:rsid w:val="00821702"/>
    <w:rsid w:val="00821ACB"/>
    <w:rsid w:val="00823E20"/>
    <w:rsid w:val="00870098"/>
    <w:rsid w:val="0087228E"/>
    <w:rsid w:val="00877CCC"/>
    <w:rsid w:val="00892CC6"/>
    <w:rsid w:val="008C0078"/>
    <w:rsid w:val="008E33EB"/>
    <w:rsid w:val="008E430C"/>
    <w:rsid w:val="00902884"/>
    <w:rsid w:val="0091313E"/>
    <w:rsid w:val="009168D6"/>
    <w:rsid w:val="00925807"/>
    <w:rsid w:val="009777E0"/>
    <w:rsid w:val="009871F0"/>
    <w:rsid w:val="009910D1"/>
    <w:rsid w:val="00997EFC"/>
    <w:rsid w:val="009B46B4"/>
    <w:rsid w:val="009E54C8"/>
    <w:rsid w:val="009F658A"/>
    <w:rsid w:val="00A0454B"/>
    <w:rsid w:val="00A04893"/>
    <w:rsid w:val="00A111C3"/>
    <w:rsid w:val="00A23636"/>
    <w:rsid w:val="00A26511"/>
    <w:rsid w:val="00A44D79"/>
    <w:rsid w:val="00A45976"/>
    <w:rsid w:val="00A460AB"/>
    <w:rsid w:val="00A464C5"/>
    <w:rsid w:val="00A53D4A"/>
    <w:rsid w:val="00A56A6A"/>
    <w:rsid w:val="00A947C2"/>
    <w:rsid w:val="00AE1383"/>
    <w:rsid w:val="00AE3D4E"/>
    <w:rsid w:val="00B17039"/>
    <w:rsid w:val="00B2288D"/>
    <w:rsid w:val="00B4761D"/>
    <w:rsid w:val="00B52616"/>
    <w:rsid w:val="00B722A2"/>
    <w:rsid w:val="00B752F8"/>
    <w:rsid w:val="00B81343"/>
    <w:rsid w:val="00B821E3"/>
    <w:rsid w:val="00B92677"/>
    <w:rsid w:val="00B95492"/>
    <w:rsid w:val="00BA4ED9"/>
    <w:rsid w:val="00BA6183"/>
    <w:rsid w:val="00BB1A78"/>
    <w:rsid w:val="00BB4508"/>
    <w:rsid w:val="00BC57C5"/>
    <w:rsid w:val="00BD393B"/>
    <w:rsid w:val="00BD6C43"/>
    <w:rsid w:val="00BE5B04"/>
    <w:rsid w:val="00BE7453"/>
    <w:rsid w:val="00BF49DD"/>
    <w:rsid w:val="00BF7C38"/>
    <w:rsid w:val="00C059FA"/>
    <w:rsid w:val="00C22FE4"/>
    <w:rsid w:val="00C354B6"/>
    <w:rsid w:val="00C41E32"/>
    <w:rsid w:val="00C61698"/>
    <w:rsid w:val="00C97652"/>
    <w:rsid w:val="00CA6794"/>
    <w:rsid w:val="00CE0855"/>
    <w:rsid w:val="00CE4AC0"/>
    <w:rsid w:val="00CF5B41"/>
    <w:rsid w:val="00D10F63"/>
    <w:rsid w:val="00D12C83"/>
    <w:rsid w:val="00D205EE"/>
    <w:rsid w:val="00D21143"/>
    <w:rsid w:val="00D30878"/>
    <w:rsid w:val="00D60EDF"/>
    <w:rsid w:val="00D627B5"/>
    <w:rsid w:val="00D85B08"/>
    <w:rsid w:val="00D978A4"/>
    <w:rsid w:val="00DA4CB7"/>
    <w:rsid w:val="00DA7A45"/>
    <w:rsid w:val="00DB6F7D"/>
    <w:rsid w:val="00DC12EC"/>
    <w:rsid w:val="00DC7150"/>
    <w:rsid w:val="00DD031E"/>
    <w:rsid w:val="00DD4412"/>
    <w:rsid w:val="00DE1BFB"/>
    <w:rsid w:val="00DE700A"/>
    <w:rsid w:val="00DF025D"/>
    <w:rsid w:val="00E057FE"/>
    <w:rsid w:val="00E06E97"/>
    <w:rsid w:val="00E26356"/>
    <w:rsid w:val="00E37B4B"/>
    <w:rsid w:val="00E55C3A"/>
    <w:rsid w:val="00E571C3"/>
    <w:rsid w:val="00E97DA0"/>
    <w:rsid w:val="00EA3FD1"/>
    <w:rsid w:val="00EA4A46"/>
    <w:rsid w:val="00EB4EF8"/>
    <w:rsid w:val="00EC0054"/>
    <w:rsid w:val="00EC6C25"/>
    <w:rsid w:val="00ED2D4B"/>
    <w:rsid w:val="00ED6790"/>
    <w:rsid w:val="00EE3B36"/>
    <w:rsid w:val="00EF4ED1"/>
    <w:rsid w:val="00F00C6A"/>
    <w:rsid w:val="00F017F2"/>
    <w:rsid w:val="00F10211"/>
    <w:rsid w:val="00F202B9"/>
    <w:rsid w:val="00F5332F"/>
    <w:rsid w:val="00F53B4F"/>
    <w:rsid w:val="00F93A01"/>
    <w:rsid w:val="00F96E40"/>
    <w:rsid w:val="00FB7153"/>
    <w:rsid w:val="00FB756C"/>
    <w:rsid w:val="00FC5519"/>
    <w:rsid w:val="00FE5519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1E6A"/>
  <w15:chartTrackingRefBased/>
  <w15:docId w15:val="{BA80B3C7-00C0-4566-8E65-D64B059B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D19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1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999"/>
  </w:style>
  <w:style w:type="table" w:styleId="TableGrid">
    <w:name w:val="Table Grid"/>
    <w:basedOn w:val="TableNormal"/>
    <w:uiPriority w:val="59"/>
    <w:rsid w:val="005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589"/>
    <w:pPr>
      <w:spacing w:after="0" w:line="240" w:lineRule="auto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035589"/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05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2" ma:contentTypeDescription="Create a new document." ma:contentTypeScope="" ma:versionID="1491556033054829f4d1641a609c60c7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dcc34ed32aaab860605eb233e547906a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AAA3D3-C550-4D83-81F7-4774E9E60138}"/>
</file>

<file path=customXml/itemProps2.xml><?xml version="1.0" encoding="utf-8"?>
<ds:datastoreItem xmlns:ds="http://schemas.openxmlformats.org/officeDocument/2006/customXml" ds:itemID="{6F3BBFD1-E53F-4B1E-B4F1-A8E5486C7106}"/>
</file>

<file path=customXml/itemProps3.xml><?xml version="1.0" encoding="utf-8"?>
<ds:datastoreItem xmlns:ds="http://schemas.openxmlformats.org/officeDocument/2006/customXml" ds:itemID="{DD62050F-6389-4023-8758-F964253605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Ellen</dc:creator>
  <cp:keywords/>
  <dc:description/>
  <cp:lastModifiedBy>Scalabrini, Amy</cp:lastModifiedBy>
  <cp:revision>2</cp:revision>
  <dcterms:created xsi:type="dcterms:W3CDTF">2022-03-04T19:22:00Z</dcterms:created>
  <dcterms:modified xsi:type="dcterms:W3CDTF">2022-03-04T19:22:00Z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</Properties>
</file>