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25D15E36"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BE7453">
        <w:rPr>
          <w:rFonts w:ascii="Palatino Linotype" w:hAnsi="Palatino Linotype"/>
          <w:b/>
          <w:sz w:val="24"/>
          <w:szCs w:val="24"/>
        </w:rPr>
        <w:t>12 January 2022</w:t>
      </w:r>
    </w:p>
    <w:p w14:paraId="677325E1" w14:textId="6D1CAD94" w:rsidR="005D1999" w:rsidRPr="004C0ED6"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bookmarkStart w:id="0" w:name="_Hlk25579822"/>
      <w:r w:rsidR="00902884">
        <w:rPr>
          <w:rFonts w:ascii="Palatino Linotype" w:hAnsi="Palatino Linotype"/>
          <w:b/>
          <w:sz w:val="24"/>
          <w:szCs w:val="24"/>
        </w:rPr>
        <w:t xml:space="preserve">Revision of </w:t>
      </w:r>
      <w:r w:rsidR="001B3859">
        <w:rPr>
          <w:rFonts w:ascii="Palatino Linotype" w:hAnsi="Palatino Linotype"/>
          <w:b/>
          <w:sz w:val="24"/>
          <w:szCs w:val="24"/>
        </w:rPr>
        <w:t>b</w:t>
      </w:r>
      <w:r w:rsidR="00902884">
        <w:rPr>
          <w:rFonts w:ascii="Palatino Linotype" w:hAnsi="Palatino Linotype"/>
          <w:b/>
          <w:sz w:val="24"/>
          <w:szCs w:val="24"/>
        </w:rPr>
        <w:t xml:space="preserve">asic </w:t>
      </w:r>
      <w:r w:rsidR="00BD6C43">
        <w:rPr>
          <w:rFonts w:ascii="Palatino Linotype" w:hAnsi="Palatino Linotype"/>
          <w:b/>
          <w:sz w:val="24"/>
          <w:szCs w:val="24"/>
        </w:rPr>
        <w:t xml:space="preserve">academic </w:t>
      </w:r>
      <w:r w:rsidR="00902884">
        <w:rPr>
          <w:rFonts w:ascii="Palatino Linotype" w:hAnsi="Palatino Linotype"/>
          <w:b/>
          <w:sz w:val="24"/>
          <w:szCs w:val="24"/>
        </w:rPr>
        <w:t>competency expectations for initial licensure</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612AD041"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0C3ACA">
        <w:rPr>
          <w:rFonts w:ascii="Palatino Linotype" w:hAnsi="Palatino Linotype"/>
          <w:sz w:val="24"/>
          <w:szCs w:val="24"/>
        </w:rPr>
        <w:t>amend their rules to</w:t>
      </w:r>
      <w:r w:rsidR="00902884">
        <w:rPr>
          <w:rFonts w:ascii="Palatino Linotype" w:hAnsi="Palatino Linotype"/>
          <w:sz w:val="24"/>
          <w:szCs w:val="24"/>
        </w:rPr>
        <w:t xml:space="preserve"> offer a broader range of </w:t>
      </w:r>
      <w:r w:rsidR="001B3859">
        <w:rPr>
          <w:rFonts w:ascii="Palatino Linotype" w:hAnsi="Palatino Linotype"/>
          <w:sz w:val="24"/>
          <w:szCs w:val="24"/>
        </w:rPr>
        <w:t>options for educators to demonstrate basic</w:t>
      </w:r>
      <w:r w:rsidR="00BD6C43">
        <w:rPr>
          <w:rFonts w:ascii="Palatino Linotype" w:hAnsi="Palatino Linotype"/>
          <w:sz w:val="24"/>
          <w:szCs w:val="24"/>
        </w:rPr>
        <w:t xml:space="preserve"> academic</w:t>
      </w:r>
      <w:r w:rsidR="001B3859">
        <w:rPr>
          <w:rFonts w:ascii="Palatino Linotype" w:hAnsi="Palatino Linotype"/>
          <w:sz w:val="24"/>
          <w:szCs w:val="24"/>
        </w:rPr>
        <w:t xml:space="preserve"> competenc</w:t>
      </w:r>
      <w:r w:rsidR="00BD6C43">
        <w:rPr>
          <w:rFonts w:ascii="Palatino Linotype" w:hAnsi="Palatino Linotype"/>
          <w:sz w:val="24"/>
          <w:szCs w:val="24"/>
        </w:rPr>
        <w:t>y</w:t>
      </w:r>
      <w:r w:rsidR="00537D47">
        <w:rPr>
          <w:rFonts w:ascii="Palatino Linotype" w:hAnsi="Palatino Linotype"/>
          <w:sz w:val="24"/>
          <w:szCs w:val="24"/>
        </w:rPr>
        <w:t>?</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27EB2884">
                <wp:extent cx="6309360" cy="9525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952500"/>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18CABFAD" w14:textId="1D6F7C0B" w:rsidR="005D1999" w:rsidRPr="00E26F2F" w:rsidRDefault="00997EFC" w:rsidP="005D1999">
                            <w:pPr>
                              <w:rPr>
                                <w:rFonts w:ascii="Palatino Linotype" w:hAnsi="Palatino Linotype"/>
                                <w:b/>
                                <w:sz w:val="24"/>
                                <w:szCs w:val="24"/>
                              </w:rPr>
                            </w:pPr>
                            <w:r>
                              <w:rPr>
                                <w:rFonts w:ascii="Palatino Linotype" w:hAnsi="Palatino Linotype"/>
                                <w:sz w:val="24"/>
                                <w:szCs w:val="24"/>
                              </w:rPr>
                              <w:t xml:space="preserve">That </w:t>
                            </w:r>
                            <w:r w:rsidR="007B0997" w:rsidRPr="00006EC1">
                              <w:rPr>
                                <w:rFonts w:ascii="Palatino Linotype" w:hAnsi="Palatino Linotype"/>
                                <w:sz w:val="24"/>
                                <w:szCs w:val="24"/>
                              </w:rPr>
                              <w:t>the VSBPE</w:t>
                            </w:r>
                            <w:r w:rsidR="007B0997">
                              <w:rPr>
                                <w:rFonts w:ascii="Palatino Linotype" w:hAnsi="Palatino Linotype"/>
                                <w:sz w:val="24"/>
                                <w:szCs w:val="24"/>
                              </w:rPr>
                              <w:t xml:space="preserve"> amend their rules to offer a broader range of options for educators to demonstrate basic academic competency</w:t>
                            </w:r>
                            <w:r w:rsidR="00DD4412">
                              <w:rPr>
                                <w:rFonts w:ascii="Palatino Linotype" w:hAnsi="Palatino Linotype"/>
                                <w:sz w:val="24"/>
                                <w:szCs w:val="24"/>
                              </w:rPr>
                              <w:t>.</w:t>
                            </w: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NtIQIAAEY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18CABFAD" w14:textId="1D6F7C0B" w:rsidR="005D1999" w:rsidRPr="00E26F2F" w:rsidRDefault="00997EFC" w:rsidP="005D1999">
                      <w:pPr>
                        <w:rPr>
                          <w:rFonts w:ascii="Palatino Linotype" w:hAnsi="Palatino Linotype"/>
                          <w:b/>
                          <w:sz w:val="24"/>
                          <w:szCs w:val="24"/>
                        </w:rPr>
                      </w:pPr>
                      <w:r>
                        <w:rPr>
                          <w:rFonts w:ascii="Palatino Linotype" w:hAnsi="Palatino Linotype"/>
                          <w:sz w:val="24"/>
                          <w:szCs w:val="24"/>
                        </w:rPr>
                        <w:t xml:space="preserve">That </w:t>
                      </w:r>
                      <w:r w:rsidR="007B0997" w:rsidRPr="00006EC1">
                        <w:rPr>
                          <w:rFonts w:ascii="Palatino Linotype" w:hAnsi="Palatino Linotype"/>
                          <w:sz w:val="24"/>
                          <w:szCs w:val="24"/>
                        </w:rPr>
                        <w:t>the VSBPE</w:t>
                      </w:r>
                      <w:r w:rsidR="007B0997">
                        <w:rPr>
                          <w:rFonts w:ascii="Palatino Linotype" w:hAnsi="Palatino Linotype"/>
                          <w:sz w:val="24"/>
                          <w:szCs w:val="24"/>
                        </w:rPr>
                        <w:t xml:space="preserve"> amend their rules to offer a broader range of options for educators to demonstrate basic academic competency</w:t>
                      </w:r>
                      <w:r w:rsidR="00DD4412">
                        <w:rPr>
                          <w:rFonts w:ascii="Palatino Linotype" w:hAnsi="Palatino Linotype"/>
                          <w:sz w:val="24"/>
                          <w:szCs w:val="24"/>
                        </w:rPr>
                        <w:t>.</w:t>
                      </w:r>
                    </w:p>
                  </w:txbxContent>
                </v:textbox>
                <w10:anchorlock/>
              </v:shape>
            </w:pict>
          </mc:Fallback>
        </mc:AlternateContent>
      </w:r>
    </w:p>
    <w:p w14:paraId="2FE93173" w14:textId="77777777" w:rsidR="005D1999" w:rsidRDefault="005D1999" w:rsidP="005D1999">
      <w:pPr>
        <w:spacing w:after="0"/>
        <w:rPr>
          <w:b/>
        </w:rPr>
      </w:pPr>
    </w:p>
    <w:p w14:paraId="15C7CA56" w14:textId="6D2CD61E" w:rsidR="00AE1383" w:rsidRPr="008033B3" w:rsidRDefault="005D1999" w:rsidP="00035589">
      <w:pPr>
        <w:pStyle w:val="Header"/>
        <w:rPr>
          <w:rFonts w:ascii="Palatino Linotype" w:hAnsi="Palatino Linotype"/>
          <w:bCs/>
          <w:sz w:val="24"/>
          <w:szCs w:val="24"/>
        </w:rPr>
      </w:pPr>
      <w:r w:rsidRPr="000B675A">
        <w:rPr>
          <w:rFonts w:ascii="Palatino Linotype" w:hAnsi="Palatino Linotype"/>
          <w:b/>
          <w:sz w:val="24"/>
          <w:szCs w:val="24"/>
        </w:rPr>
        <w:t xml:space="preserve">BACKGROUND: </w:t>
      </w:r>
      <w:r w:rsidR="00DD4412">
        <w:rPr>
          <w:rFonts w:ascii="Palatino Linotype" w:hAnsi="Palatino Linotype"/>
          <w:bCs/>
          <w:sz w:val="24"/>
          <w:szCs w:val="24"/>
        </w:rPr>
        <w:t xml:space="preserve">The </w:t>
      </w:r>
      <w:r w:rsidR="00241F6A">
        <w:rPr>
          <w:rFonts w:ascii="Palatino Linotype" w:hAnsi="Palatino Linotype"/>
          <w:bCs/>
          <w:sz w:val="24"/>
          <w:szCs w:val="24"/>
        </w:rPr>
        <w:t xml:space="preserve">VSBPE rules require educators seeking </w:t>
      </w:r>
      <w:r w:rsidR="00DA4CB7">
        <w:rPr>
          <w:rFonts w:ascii="Palatino Linotype" w:hAnsi="Palatino Linotype"/>
          <w:bCs/>
          <w:sz w:val="24"/>
          <w:szCs w:val="24"/>
        </w:rPr>
        <w:t xml:space="preserve">teaching and/or administrator licenses to have a passing score on the Praxis Core.  A few other standardized assessments can be </w:t>
      </w:r>
      <w:r w:rsidR="00BC57C5">
        <w:rPr>
          <w:rFonts w:ascii="Palatino Linotype" w:hAnsi="Palatino Linotype"/>
          <w:bCs/>
          <w:sz w:val="24"/>
          <w:szCs w:val="24"/>
        </w:rPr>
        <w:t xml:space="preserve">used in place of the Praxis Core.  There is also </w:t>
      </w:r>
      <w:r w:rsidR="0063527A">
        <w:rPr>
          <w:rFonts w:ascii="Palatino Linotype" w:hAnsi="Palatino Linotype"/>
          <w:bCs/>
          <w:sz w:val="24"/>
          <w:szCs w:val="24"/>
        </w:rPr>
        <w:t>a process to be granted a waiver from the Praxis Core.  However, all of these ways of demonstrating basic academic competencies are based on performance on standardized tests.</w:t>
      </w:r>
    </w:p>
    <w:p w14:paraId="12ADACDD" w14:textId="6E8D97C7" w:rsidR="00CE0855" w:rsidRDefault="00CE0855" w:rsidP="0017674C">
      <w:pPr>
        <w:pStyle w:val="Header"/>
        <w:rPr>
          <w:rFonts w:ascii="Palatino Linotype" w:hAnsi="Palatino Linotype"/>
          <w:b/>
          <w:sz w:val="24"/>
          <w:szCs w:val="24"/>
        </w:rPr>
      </w:pPr>
    </w:p>
    <w:p w14:paraId="19A632F6" w14:textId="57BC3962" w:rsidR="00632F07" w:rsidRPr="00461F7A" w:rsidRDefault="00CE0855" w:rsidP="003219B5">
      <w:pPr>
        <w:pStyle w:val="Header"/>
      </w:pPr>
      <w:r>
        <w:rPr>
          <w:rFonts w:ascii="Palatino Linotype" w:hAnsi="Palatino Linotype"/>
          <w:b/>
          <w:sz w:val="24"/>
          <w:szCs w:val="24"/>
        </w:rPr>
        <w:t>RATIONALE:</w:t>
      </w:r>
      <w:r w:rsidR="00636452">
        <w:rPr>
          <w:rFonts w:ascii="Palatino Linotype" w:hAnsi="Palatino Linotype"/>
          <w:b/>
          <w:sz w:val="24"/>
          <w:szCs w:val="24"/>
        </w:rPr>
        <w:t xml:space="preserve"> </w:t>
      </w:r>
      <w:r w:rsidR="0063527A">
        <w:rPr>
          <w:rFonts w:ascii="Palatino Linotype" w:hAnsi="Palatino Linotype"/>
          <w:bCs/>
          <w:sz w:val="24"/>
          <w:szCs w:val="24"/>
        </w:rPr>
        <w:t xml:space="preserve">Consistent with </w:t>
      </w:r>
      <w:r w:rsidR="00F10211">
        <w:rPr>
          <w:rFonts w:ascii="Palatino Linotype" w:hAnsi="Palatino Linotype"/>
          <w:bCs/>
          <w:sz w:val="24"/>
          <w:szCs w:val="24"/>
        </w:rPr>
        <w:t xml:space="preserve">performance measures of student competency, these proposed rule changes would allow candidates to demonstrate </w:t>
      </w:r>
      <w:r w:rsidR="00461F7A">
        <w:rPr>
          <w:rFonts w:ascii="Palatino Linotype" w:hAnsi="Palatino Linotype"/>
          <w:bCs/>
          <w:sz w:val="24"/>
          <w:szCs w:val="24"/>
        </w:rPr>
        <w:t xml:space="preserve">basic competencies through existing means, as well as through demonstration of competency through coursework.  Additionally, Vermont already accepts other state demonstrations of academic competencies </w:t>
      </w:r>
      <w:r w:rsidR="00461F7A" w:rsidRPr="00461F7A">
        <w:rPr>
          <w:rFonts w:ascii="Palatino Linotype" w:hAnsi="Palatino Linotype"/>
          <w:bCs/>
          <w:i/>
          <w:iCs/>
          <w:sz w:val="24"/>
          <w:szCs w:val="24"/>
        </w:rPr>
        <w:t>de fact</w:t>
      </w:r>
      <w:r w:rsidR="00461F7A">
        <w:rPr>
          <w:rFonts w:ascii="Palatino Linotype" w:hAnsi="Palatino Linotype"/>
          <w:bCs/>
          <w:i/>
          <w:iCs/>
          <w:sz w:val="24"/>
          <w:szCs w:val="24"/>
        </w:rPr>
        <w:t>o</w:t>
      </w:r>
      <w:r w:rsidR="00461F7A">
        <w:rPr>
          <w:rFonts w:ascii="Palatino Linotype" w:hAnsi="Palatino Linotype"/>
          <w:bCs/>
          <w:sz w:val="24"/>
          <w:szCs w:val="24"/>
        </w:rPr>
        <w:t xml:space="preserve"> through recip</w:t>
      </w:r>
      <w:r w:rsidR="00ED6790">
        <w:rPr>
          <w:rFonts w:ascii="Palatino Linotype" w:hAnsi="Palatino Linotype"/>
          <w:bCs/>
          <w:sz w:val="24"/>
          <w:szCs w:val="24"/>
        </w:rPr>
        <w:t>rocity.  Allowing these assessments to be used for initial licensure is a logical extension.</w:t>
      </w:r>
    </w:p>
    <w:p w14:paraId="6D1B91E7" w14:textId="18EDEA81" w:rsidR="00C059FA" w:rsidRDefault="00C059FA" w:rsidP="00C059FA">
      <w:pPr>
        <w:pStyle w:val="Header"/>
        <w:rPr>
          <w:rFonts w:ascii="Palatino Linotype" w:hAnsi="Palatino Linotype"/>
          <w:bCs/>
          <w:sz w:val="24"/>
          <w:szCs w:val="24"/>
        </w:rPr>
      </w:pPr>
      <w:r>
        <w:rPr>
          <w:rFonts w:ascii="Palatino Linotype" w:hAnsi="Palatino Linotype"/>
          <w:bCs/>
          <w:sz w:val="24"/>
          <w:szCs w:val="24"/>
        </w:rPr>
        <w:br/>
      </w:r>
      <w:r>
        <w:rPr>
          <w:rFonts w:ascii="Palatino Linotype" w:hAnsi="Palatino Linotype"/>
          <w:b/>
          <w:sz w:val="24"/>
          <w:szCs w:val="24"/>
        </w:rPr>
        <w:t>DOCUMENTATION:</w:t>
      </w:r>
      <w:r w:rsidR="004C0ED6">
        <w:rPr>
          <w:rFonts w:ascii="Palatino Linotype" w:hAnsi="Palatino Linotype"/>
          <w:b/>
          <w:sz w:val="24"/>
          <w:szCs w:val="24"/>
        </w:rPr>
        <w:t xml:space="preserve">  </w:t>
      </w:r>
      <w:r w:rsidR="003219B5">
        <w:rPr>
          <w:rFonts w:ascii="Palatino Linotype" w:hAnsi="Palatino Linotype"/>
          <w:bCs/>
          <w:sz w:val="24"/>
          <w:szCs w:val="24"/>
        </w:rPr>
        <w:t>Proposed amended rules</w:t>
      </w:r>
    </w:p>
    <w:p w14:paraId="7A4A0BD6" w14:textId="05B4FAB2" w:rsidR="00A45976" w:rsidRDefault="00A45976" w:rsidP="00C059FA">
      <w:pPr>
        <w:pStyle w:val="Header"/>
        <w:rPr>
          <w:rFonts w:ascii="Palatino Linotype" w:hAnsi="Palatino Linotype"/>
          <w:bCs/>
          <w:sz w:val="24"/>
          <w:szCs w:val="24"/>
        </w:rPr>
      </w:pPr>
    </w:p>
    <w:p w14:paraId="0B022C26" w14:textId="22BC0F9F" w:rsidR="00A45976" w:rsidRDefault="00A45976" w:rsidP="00C059FA">
      <w:pPr>
        <w:pStyle w:val="Header"/>
        <w:rPr>
          <w:rFonts w:ascii="Palatino Linotype" w:hAnsi="Palatino Linotype"/>
          <w:bCs/>
          <w:sz w:val="24"/>
          <w:szCs w:val="24"/>
        </w:rPr>
      </w:pPr>
      <w:r w:rsidRPr="00A45976">
        <w:rPr>
          <w:rFonts w:ascii="Palatino Linotype" w:hAnsi="Palatino Linotype"/>
          <w:b/>
          <w:sz w:val="24"/>
          <w:szCs w:val="24"/>
        </w:rPr>
        <w:t>NOTE</w:t>
      </w:r>
      <w:r>
        <w:rPr>
          <w:rFonts w:ascii="Palatino Linotype" w:hAnsi="Palatino Linotype"/>
          <w:b/>
          <w:sz w:val="24"/>
          <w:szCs w:val="24"/>
        </w:rPr>
        <w:t>:</w:t>
      </w:r>
      <w:r>
        <w:rPr>
          <w:rFonts w:ascii="Palatino Linotype" w:hAnsi="Palatino Linotype"/>
          <w:bCs/>
          <w:sz w:val="24"/>
          <w:szCs w:val="24"/>
        </w:rPr>
        <w:t xml:space="preserve"> If the Standards Board </w:t>
      </w:r>
      <w:r w:rsidR="006F6967">
        <w:rPr>
          <w:rFonts w:ascii="Palatino Linotype" w:hAnsi="Palatino Linotype"/>
          <w:bCs/>
          <w:sz w:val="24"/>
          <w:szCs w:val="24"/>
        </w:rPr>
        <w:t xml:space="preserve">accepts these rule changes, the Office will </w:t>
      </w:r>
      <w:r w:rsidR="00457397">
        <w:rPr>
          <w:rFonts w:ascii="Palatino Linotype" w:hAnsi="Palatino Linotype"/>
          <w:bCs/>
          <w:sz w:val="24"/>
          <w:szCs w:val="24"/>
        </w:rPr>
        <w:t>make additional technical corrections to the rules to bring back to the board</w:t>
      </w:r>
      <w:r w:rsidR="0047283B">
        <w:rPr>
          <w:rFonts w:ascii="Palatino Linotype" w:hAnsi="Palatino Linotype"/>
          <w:bCs/>
          <w:sz w:val="24"/>
          <w:szCs w:val="24"/>
        </w:rPr>
        <w:t xml:space="preserve"> for approval.  Additionally, the Office will bring a complete policy to the board regarding accepted </w:t>
      </w:r>
      <w:r w:rsidR="00002B49">
        <w:rPr>
          <w:rFonts w:ascii="Palatino Linotype" w:hAnsi="Palatino Linotype"/>
          <w:bCs/>
          <w:sz w:val="24"/>
          <w:szCs w:val="24"/>
        </w:rPr>
        <w:t xml:space="preserve">assessments for </w:t>
      </w:r>
      <w:r w:rsidR="00F96E40">
        <w:rPr>
          <w:rFonts w:ascii="Palatino Linotype" w:hAnsi="Palatino Linotype"/>
          <w:bCs/>
          <w:sz w:val="24"/>
          <w:szCs w:val="24"/>
        </w:rPr>
        <w:t xml:space="preserve">demonstration of basic competencies to the March </w:t>
      </w:r>
      <w:r w:rsidR="003C6E20">
        <w:rPr>
          <w:rFonts w:ascii="Palatino Linotype" w:hAnsi="Palatino Linotype"/>
          <w:bCs/>
          <w:sz w:val="24"/>
          <w:szCs w:val="24"/>
        </w:rPr>
        <w:t>meetin</w:t>
      </w:r>
      <w:r w:rsidR="00F96E40">
        <w:rPr>
          <w:rFonts w:ascii="Palatino Linotype" w:hAnsi="Palatino Linotype"/>
          <w:bCs/>
          <w:sz w:val="24"/>
          <w:szCs w:val="24"/>
        </w:rPr>
        <w:t>g for a first reading.</w:t>
      </w:r>
    </w:p>
    <w:p w14:paraId="437C5A57" w14:textId="14A28C28" w:rsidR="003C6E20" w:rsidRDefault="003C6E20">
      <w:pPr>
        <w:spacing w:after="160" w:line="259" w:lineRule="auto"/>
        <w:rPr>
          <w:rFonts w:ascii="Palatino Linotype" w:hAnsi="Palatino Linotype" w:cs="Tahoma"/>
          <w:bCs/>
          <w:sz w:val="24"/>
          <w:szCs w:val="24"/>
        </w:rPr>
      </w:pPr>
      <w:r>
        <w:rPr>
          <w:rFonts w:ascii="Palatino Linotype" w:hAnsi="Palatino Linotype"/>
          <w:bCs/>
          <w:sz w:val="24"/>
          <w:szCs w:val="24"/>
        </w:rPr>
        <w:br w:type="page"/>
      </w:r>
    </w:p>
    <w:p w14:paraId="13E0E464" w14:textId="77777777" w:rsidR="003C6E20" w:rsidRPr="00E05BF0" w:rsidRDefault="003C6E20" w:rsidP="003C6E20">
      <w:pPr>
        <w:spacing w:after="0" w:line="240" w:lineRule="auto"/>
        <w:rPr>
          <w:rFonts w:ascii="Palatino Linotype" w:eastAsia="Times New Roman" w:hAnsi="Palatino Linotype" w:cs="Times New Roman"/>
          <w:b/>
          <w:bCs/>
        </w:rPr>
      </w:pPr>
      <w:r w:rsidRPr="00E05BF0">
        <w:rPr>
          <w:rFonts w:ascii="Palatino Linotype" w:eastAsia="Times New Roman" w:hAnsi="Palatino Linotype" w:cs="Times New Roman"/>
          <w:b/>
          <w:bCs/>
        </w:rPr>
        <w:lastRenderedPageBreak/>
        <w:t xml:space="preserve">Proposed Rule Changes: </w:t>
      </w:r>
    </w:p>
    <w:p w14:paraId="35A68381" w14:textId="77777777" w:rsidR="003C6E20" w:rsidRDefault="003C6E20" w:rsidP="003C6E20">
      <w:pPr>
        <w:spacing w:after="0" w:line="240" w:lineRule="auto"/>
        <w:rPr>
          <w:rFonts w:ascii="Palatino Linotype" w:eastAsia="Times New Roman" w:hAnsi="Palatino Linotype" w:cs="Times New Roman"/>
          <w:color w:val="FF0000"/>
        </w:rPr>
      </w:pPr>
    </w:p>
    <w:p w14:paraId="500FC806"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FF0000"/>
        </w:rPr>
        <w:t>5241</w:t>
      </w:r>
      <w:r w:rsidRPr="00796F4F">
        <w:rPr>
          <w:rFonts w:ascii="Palatino Linotype" w:eastAsia="Times New Roman" w:hAnsi="Palatino Linotype" w:cs="Times New Roman"/>
          <w:color w:val="FF0000"/>
        </w:rPr>
        <w:tab/>
        <w:t>Praxis Core examination and alternate measures of demonstration of basic skills</w:t>
      </w:r>
    </w:p>
    <w:p w14:paraId="0879780F" w14:textId="77777777" w:rsidR="003C6E20" w:rsidRPr="00796F4F" w:rsidRDefault="003C6E20" w:rsidP="003C6E20">
      <w:pPr>
        <w:spacing w:after="0" w:line="240" w:lineRule="auto"/>
        <w:rPr>
          <w:rFonts w:ascii="Palatino Linotype" w:eastAsia="Times New Roman" w:hAnsi="Palatino Linotype" w:cs="Times New Roman"/>
        </w:rPr>
      </w:pPr>
    </w:p>
    <w:p w14:paraId="36FF7DD0"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FF0000"/>
        </w:rPr>
        <w:t>5241.1</w:t>
      </w:r>
      <w:r w:rsidRPr="00796F4F">
        <w:rPr>
          <w:rFonts w:ascii="Palatino Linotype" w:eastAsia="Times New Roman" w:hAnsi="Palatino Linotype" w:cs="Times New Roman"/>
          <w:color w:val="000000"/>
        </w:rPr>
        <w:t xml:space="preserve"> </w:t>
      </w:r>
      <w:r w:rsidRPr="00796F4F">
        <w:rPr>
          <w:rFonts w:ascii="Palatino Linotype" w:eastAsia="Times New Roman" w:hAnsi="Palatino Linotype" w:cs="Times New Roman"/>
          <w:color w:val="000000"/>
        </w:rPr>
        <w:tab/>
        <w:t xml:space="preserve">Except as otherwise provided by Rule 5246, all applicants for initial licensure under sections 5310, 5320, 5330, or 5340 of these rules shall be required to meet the passing scores established by the Standards Board on the Praxis Core Series examinations in reading, writing, and mathematics or other examinations </w:t>
      </w:r>
      <w:r w:rsidRPr="00796F4F">
        <w:rPr>
          <w:rFonts w:ascii="Palatino Linotype" w:eastAsia="Times New Roman" w:hAnsi="Palatino Linotype" w:cs="Times New Roman"/>
          <w:color w:val="FF0000"/>
          <w:u w:val="single"/>
        </w:rPr>
        <w:t xml:space="preserve">or measures </w:t>
      </w:r>
      <w:r w:rsidRPr="00796F4F">
        <w:rPr>
          <w:rFonts w:ascii="Palatino Linotype" w:eastAsia="Times New Roman" w:hAnsi="Palatino Linotype" w:cs="Times New Roman"/>
          <w:color w:val="000000"/>
        </w:rPr>
        <w:t>determined by the Standards Board. </w:t>
      </w:r>
    </w:p>
    <w:p w14:paraId="028A6E68" w14:textId="77777777" w:rsidR="003C6E20" w:rsidRPr="00796F4F" w:rsidRDefault="003C6E20" w:rsidP="003C6E20">
      <w:pPr>
        <w:spacing w:after="0" w:line="240" w:lineRule="auto"/>
        <w:rPr>
          <w:rFonts w:ascii="Palatino Linotype" w:eastAsia="Times New Roman" w:hAnsi="Palatino Linotype" w:cs="Times New Roman"/>
        </w:rPr>
      </w:pPr>
    </w:p>
    <w:p w14:paraId="13BA3718"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FF0000"/>
        </w:rPr>
        <w:t xml:space="preserve">5241.2 </w:t>
      </w:r>
      <w:r w:rsidRPr="00796F4F">
        <w:rPr>
          <w:rFonts w:ascii="Palatino Linotype" w:eastAsia="Times New Roman" w:hAnsi="Palatino Linotype" w:cs="Times New Roman"/>
          <w:color w:val="FF0000"/>
        </w:rPr>
        <w:tab/>
        <w:t>Other examinations and measures for determining core skills beyond the Praxis Core series include:</w:t>
      </w:r>
    </w:p>
    <w:p w14:paraId="69E046BF" w14:textId="77777777" w:rsidR="003C6E20" w:rsidRPr="00796F4F" w:rsidRDefault="003C6E20" w:rsidP="003C6E20">
      <w:pPr>
        <w:numPr>
          <w:ilvl w:val="0"/>
          <w:numId w:val="3"/>
        </w:numPr>
        <w:spacing w:after="0" w:line="240" w:lineRule="auto"/>
        <w:textAlignment w:val="baseline"/>
        <w:rPr>
          <w:rFonts w:ascii="Palatino Linotype" w:eastAsia="Times New Roman" w:hAnsi="Palatino Linotype" w:cs="Times New Roman"/>
          <w:color w:val="FF0000"/>
        </w:rPr>
      </w:pPr>
      <w:r w:rsidRPr="00796F4F">
        <w:rPr>
          <w:rFonts w:ascii="Palatino Linotype" w:eastAsia="Times New Roman" w:hAnsi="Palatino Linotype" w:cs="Times New Roman"/>
          <w:color w:val="FF0000"/>
        </w:rPr>
        <w:t>Equivalent score on approved alternate assessment as defined in Policy XX</w:t>
      </w:r>
    </w:p>
    <w:p w14:paraId="5C06F29D" w14:textId="77777777" w:rsidR="003C6E20" w:rsidRPr="00796F4F" w:rsidRDefault="003C6E20" w:rsidP="003C6E20">
      <w:pPr>
        <w:numPr>
          <w:ilvl w:val="0"/>
          <w:numId w:val="3"/>
        </w:numPr>
        <w:spacing w:after="0" w:line="240" w:lineRule="auto"/>
        <w:textAlignment w:val="baseline"/>
        <w:rPr>
          <w:rFonts w:ascii="Palatino Linotype" w:eastAsia="Times New Roman" w:hAnsi="Palatino Linotype" w:cs="Times New Roman"/>
          <w:color w:val="FF0000"/>
        </w:rPr>
      </w:pPr>
      <w:r w:rsidRPr="00796F4F">
        <w:rPr>
          <w:rFonts w:ascii="Palatino Linotype" w:eastAsia="Times New Roman" w:hAnsi="Palatino Linotype" w:cs="Times New Roman"/>
          <w:color w:val="FF0000"/>
        </w:rPr>
        <w:t>Passing score on assessment of basic skills approved for educator licensure in any other US state.</w:t>
      </w:r>
    </w:p>
    <w:p w14:paraId="11965A16" w14:textId="77777777" w:rsidR="003C6E20" w:rsidRPr="00796F4F" w:rsidRDefault="003C6E20" w:rsidP="003C6E20">
      <w:pPr>
        <w:numPr>
          <w:ilvl w:val="0"/>
          <w:numId w:val="3"/>
        </w:numPr>
        <w:spacing w:after="0" w:line="240" w:lineRule="auto"/>
        <w:textAlignment w:val="baseline"/>
        <w:rPr>
          <w:rFonts w:ascii="Palatino Linotype" w:eastAsia="Times New Roman" w:hAnsi="Palatino Linotype" w:cs="Times New Roman"/>
          <w:color w:val="FF0000"/>
        </w:rPr>
      </w:pPr>
      <w:r w:rsidRPr="00796F4F">
        <w:rPr>
          <w:rFonts w:ascii="Palatino Linotype" w:eastAsia="Times New Roman" w:hAnsi="Palatino Linotype" w:cs="Times New Roman"/>
          <w:color w:val="FF0000"/>
        </w:rPr>
        <w:t>Demonstration of competence in basic skills aligned with the Praxis Core through coursework that appears for credit on an official transcript and for which the applicant received a grade of “B” or better</w:t>
      </w:r>
    </w:p>
    <w:p w14:paraId="500ACACB" w14:textId="77777777" w:rsidR="003C6E20" w:rsidRPr="00796F4F" w:rsidRDefault="003C6E20" w:rsidP="003C6E20">
      <w:pPr>
        <w:spacing w:after="0" w:line="240" w:lineRule="auto"/>
        <w:rPr>
          <w:rFonts w:ascii="Palatino Linotype" w:eastAsia="Times New Roman" w:hAnsi="Palatino Linotype" w:cs="Times New Roman"/>
        </w:rPr>
      </w:pPr>
    </w:p>
    <w:p w14:paraId="4912AE8E"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5247 Waiver of Praxis Core Series Requirement</w:t>
      </w:r>
    </w:p>
    <w:p w14:paraId="6CBF4B22" w14:textId="77777777" w:rsidR="003C6E20" w:rsidRPr="00796F4F" w:rsidRDefault="003C6E20" w:rsidP="003C6E20">
      <w:pPr>
        <w:spacing w:after="0" w:line="240" w:lineRule="auto"/>
        <w:rPr>
          <w:rFonts w:ascii="Palatino Linotype" w:eastAsia="Times New Roman" w:hAnsi="Palatino Linotype" w:cs="Times New Roman"/>
        </w:rPr>
      </w:pPr>
    </w:p>
    <w:p w14:paraId="01B2577C"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 xml:space="preserve">5247.1 </w:t>
      </w:r>
      <w:r w:rsidRPr="00796F4F">
        <w:rPr>
          <w:rFonts w:ascii="Palatino Linotype" w:eastAsia="Times New Roman" w:hAnsi="Palatino Linotype" w:cs="Times New Roman"/>
          <w:color w:val="000000"/>
        </w:rPr>
        <w:tab/>
        <w:t>A superintendent, director, head of an approved independent school, Career Technical Director, or may apply for the waiver on behalf of the educator.</w:t>
      </w:r>
    </w:p>
    <w:p w14:paraId="31D2D48A" w14:textId="77777777" w:rsidR="003C6E20" w:rsidRPr="00796F4F" w:rsidRDefault="003C6E20" w:rsidP="003C6E20">
      <w:pPr>
        <w:spacing w:after="0" w:line="240" w:lineRule="auto"/>
        <w:rPr>
          <w:rFonts w:ascii="Palatino Linotype" w:eastAsia="Times New Roman" w:hAnsi="Palatino Linotype" w:cs="Times New Roman"/>
        </w:rPr>
      </w:pPr>
    </w:p>
    <w:p w14:paraId="00307739"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5247.2 The school district would need to demonstrate that not being given a waiver would substantially inhibit the district’s ability to carry out its locally established objectives.</w:t>
      </w:r>
    </w:p>
    <w:p w14:paraId="5E5A7BF4" w14:textId="77777777" w:rsidR="003C6E20" w:rsidRPr="00796F4F" w:rsidRDefault="003C6E20" w:rsidP="003C6E20">
      <w:pPr>
        <w:spacing w:after="0" w:line="240" w:lineRule="auto"/>
        <w:rPr>
          <w:rFonts w:ascii="Palatino Linotype" w:eastAsia="Times New Roman" w:hAnsi="Palatino Linotype" w:cs="Times New Roman"/>
        </w:rPr>
      </w:pPr>
    </w:p>
    <w:p w14:paraId="50522CF6"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5247.3 The prospective teacher on whose behalf the waiver is being requested must document that the individual: </w:t>
      </w:r>
    </w:p>
    <w:p w14:paraId="7B93C21D" w14:textId="77777777" w:rsidR="003C6E20" w:rsidRPr="00796F4F" w:rsidRDefault="003C6E20" w:rsidP="003C6E20">
      <w:pPr>
        <w:numPr>
          <w:ilvl w:val="0"/>
          <w:numId w:val="4"/>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has undertaken additional efforts to acquire knowledge and skills necessary such as tutoring and courses;</w:t>
      </w:r>
    </w:p>
    <w:p w14:paraId="6E8AD030" w14:textId="77777777" w:rsidR="003C6E20" w:rsidRPr="00796F4F" w:rsidRDefault="003C6E20" w:rsidP="003C6E20">
      <w:pPr>
        <w:numPr>
          <w:ilvl w:val="0"/>
          <w:numId w:val="4"/>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 xml:space="preserve">has exhausted all ETS procedures for accommodations for a disability </w:t>
      </w:r>
      <w:r w:rsidRPr="00796F4F">
        <w:rPr>
          <w:rFonts w:ascii="Palatino Linotype" w:eastAsia="Times New Roman" w:hAnsi="Palatino Linotype" w:cs="Times New Roman"/>
          <w:color w:val="FF0000"/>
        </w:rPr>
        <w:t xml:space="preserve">if </w:t>
      </w:r>
      <w:r w:rsidRPr="00796F4F">
        <w:rPr>
          <w:rFonts w:ascii="Palatino Linotype" w:eastAsia="Times New Roman" w:hAnsi="Palatino Linotype" w:cs="Times New Roman"/>
          <w:color w:val="000000"/>
        </w:rPr>
        <w:t>the educators has an identified and documented disability; and</w:t>
      </w:r>
      <w:r w:rsidRPr="00796F4F">
        <w:rPr>
          <w:rFonts w:ascii="Palatino Linotype" w:eastAsia="Times New Roman" w:hAnsi="Palatino Linotype" w:cs="Times New Roman"/>
          <w:strike/>
          <w:color w:val="000000"/>
        </w:rPr>
        <w:t> </w:t>
      </w:r>
    </w:p>
    <w:p w14:paraId="5E61B2CD" w14:textId="77777777" w:rsidR="003C6E20" w:rsidRPr="00796F4F" w:rsidRDefault="003C6E20" w:rsidP="003C6E20">
      <w:pPr>
        <w:numPr>
          <w:ilvl w:val="0"/>
          <w:numId w:val="4"/>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 xml:space="preserve">has taken the exam a minimum of </w:t>
      </w:r>
      <w:r w:rsidRPr="00796F4F">
        <w:rPr>
          <w:rFonts w:ascii="Palatino Linotype" w:eastAsia="Times New Roman" w:hAnsi="Palatino Linotype" w:cs="Times New Roman"/>
          <w:color w:val="FF0000"/>
        </w:rPr>
        <w:t xml:space="preserve">two </w:t>
      </w:r>
      <w:r w:rsidRPr="00796F4F">
        <w:rPr>
          <w:rFonts w:ascii="Palatino Linotype" w:eastAsia="Times New Roman" w:hAnsi="Palatino Linotype" w:cs="Times New Roman"/>
          <w:color w:val="000000"/>
        </w:rPr>
        <w:t>times without being able to meet the required cut scores.</w:t>
      </w:r>
    </w:p>
    <w:p w14:paraId="65155BEE" w14:textId="77777777" w:rsidR="003C6E20" w:rsidRPr="00796F4F" w:rsidRDefault="003C6E20" w:rsidP="003C6E20">
      <w:pPr>
        <w:spacing w:after="0" w:line="240" w:lineRule="auto"/>
        <w:rPr>
          <w:rFonts w:ascii="Palatino Linotype" w:eastAsia="Times New Roman" w:hAnsi="Palatino Linotype" w:cs="Times New Roman"/>
        </w:rPr>
      </w:pPr>
    </w:p>
    <w:p w14:paraId="7F74A428"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5247.4 If a - c are met and the VSBPE or the Office finds that the candidate is otherwise qualified, the Education Quality Division’s Licensing Office will issue a license that is restricted to teaching in the Supervisory Union/District making the waiver request. will allow the educator to seek licensure without meeting Praxis Core requirements.</w:t>
      </w:r>
    </w:p>
    <w:p w14:paraId="38CA858C" w14:textId="77777777" w:rsidR="003C6E20" w:rsidRPr="00796F4F" w:rsidRDefault="003C6E20" w:rsidP="003C6E20">
      <w:pPr>
        <w:spacing w:after="0" w:line="240" w:lineRule="auto"/>
        <w:rPr>
          <w:rFonts w:ascii="Palatino Linotype" w:eastAsia="Times New Roman" w:hAnsi="Palatino Linotype" w:cs="Times New Roman"/>
        </w:rPr>
      </w:pPr>
    </w:p>
    <w:p w14:paraId="4C721ECE"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FF0000"/>
        </w:rPr>
        <w:t xml:space="preserve">5247.5 </w:t>
      </w:r>
      <w:r w:rsidRPr="00796F4F">
        <w:rPr>
          <w:rFonts w:ascii="Palatino Linotype" w:eastAsia="Times New Roman" w:hAnsi="Palatino Linotype" w:cs="Times New Roman"/>
          <w:color w:val="FF0000"/>
        </w:rPr>
        <w:tab/>
        <w:t>An Education Preparation Program can request a waiver on behalf of a candidate, if the EPP attests that the candidate has demonstrated the basic skills and competencies to be a licensed educator in the State of Vermont and documents that the educator:</w:t>
      </w:r>
    </w:p>
    <w:p w14:paraId="5114A199" w14:textId="77777777" w:rsidR="003C6E20" w:rsidRPr="00796F4F" w:rsidRDefault="003C6E20" w:rsidP="003C6E20">
      <w:pPr>
        <w:numPr>
          <w:ilvl w:val="0"/>
          <w:numId w:val="5"/>
        </w:numPr>
        <w:spacing w:after="0" w:line="240" w:lineRule="auto"/>
        <w:textAlignment w:val="baseline"/>
        <w:rPr>
          <w:rFonts w:ascii="Palatino Linotype" w:eastAsia="Times New Roman" w:hAnsi="Palatino Linotype" w:cs="Times New Roman"/>
          <w:color w:val="FF0000"/>
        </w:rPr>
      </w:pPr>
      <w:r w:rsidRPr="00796F4F">
        <w:rPr>
          <w:rFonts w:ascii="Palatino Linotype" w:eastAsia="Times New Roman" w:hAnsi="Palatino Linotype" w:cs="Times New Roman"/>
          <w:color w:val="FF0000"/>
        </w:rPr>
        <w:lastRenderedPageBreak/>
        <w:t>has been supported by the requesting EPP with documented additional efforts to acquire knowledge and skills necessary, such as tutoring or coursework, and how the educator has demonstrated competency in basic skills through these efforts;</w:t>
      </w:r>
    </w:p>
    <w:p w14:paraId="1F883F7A" w14:textId="77777777" w:rsidR="003C6E20" w:rsidRPr="00796F4F" w:rsidRDefault="003C6E20" w:rsidP="003C6E20">
      <w:pPr>
        <w:numPr>
          <w:ilvl w:val="0"/>
          <w:numId w:val="5"/>
        </w:numPr>
        <w:spacing w:after="0" w:line="240" w:lineRule="auto"/>
        <w:textAlignment w:val="baseline"/>
        <w:rPr>
          <w:rFonts w:ascii="Palatino Linotype" w:eastAsia="Times New Roman" w:hAnsi="Palatino Linotype" w:cs="Times New Roman"/>
          <w:color w:val="FF0000"/>
        </w:rPr>
      </w:pPr>
      <w:r w:rsidRPr="00796F4F">
        <w:rPr>
          <w:rFonts w:ascii="Palatino Linotype" w:eastAsia="Times New Roman" w:hAnsi="Palatino Linotype" w:cs="Times New Roman"/>
          <w:color w:val="FF0000"/>
        </w:rPr>
        <w:t>has exhausted all ETS procedures for accommodations for a disability if the educators has an identified and documented disability; and</w:t>
      </w:r>
      <w:r w:rsidRPr="00796F4F">
        <w:rPr>
          <w:rFonts w:ascii="Palatino Linotype" w:eastAsia="Times New Roman" w:hAnsi="Palatino Linotype" w:cs="Times New Roman"/>
          <w:strike/>
          <w:color w:val="FF0000"/>
        </w:rPr>
        <w:t> </w:t>
      </w:r>
    </w:p>
    <w:p w14:paraId="48F7FD71" w14:textId="77777777" w:rsidR="003C6E20" w:rsidRPr="00796F4F" w:rsidRDefault="003C6E20" w:rsidP="003C6E20">
      <w:pPr>
        <w:numPr>
          <w:ilvl w:val="0"/>
          <w:numId w:val="5"/>
        </w:numPr>
        <w:spacing w:after="0" w:line="240" w:lineRule="auto"/>
        <w:textAlignment w:val="baseline"/>
        <w:rPr>
          <w:rFonts w:ascii="Palatino Linotype" w:eastAsia="Times New Roman" w:hAnsi="Palatino Linotype" w:cs="Times New Roman"/>
          <w:color w:val="FF0000"/>
        </w:rPr>
      </w:pPr>
      <w:r w:rsidRPr="00796F4F">
        <w:rPr>
          <w:rFonts w:ascii="Palatino Linotype" w:eastAsia="Times New Roman" w:hAnsi="Palatino Linotype" w:cs="Times New Roman"/>
          <w:color w:val="FF0000"/>
        </w:rPr>
        <w:t>has taken the exam a minimum of two times without being able to meet the required cut scores.</w:t>
      </w:r>
    </w:p>
    <w:p w14:paraId="6CC2B4E2" w14:textId="77777777" w:rsidR="003C6E20" w:rsidRPr="00796F4F" w:rsidRDefault="003C6E20" w:rsidP="003C6E20">
      <w:pPr>
        <w:spacing w:after="0" w:line="240" w:lineRule="auto"/>
        <w:rPr>
          <w:rFonts w:ascii="Palatino Linotype" w:eastAsia="Times New Roman" w:hAnsi="Palatino Linotype" w:cs="Times New Roman"/>
        </w:rPr>
      </w:pPr>
    </w:p>
    <w:p w14:paraId="04A24455"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5247.4 If a - c are met and the VSBPE or the Office finds that the candidate is otherwise qualified, the Education Quality Division’s Licensing Office will issue a license allowing the educator to seek licensure without meeting Praxis Core requirements.</w:t>
      </w:r>
    </w:p>
    <w:p w14:paraId="602418AA" w14:textId="77777777" w:rsidR="003C6E20" w:rsidRPr="00796F4F" w:rsidRDefault="003C6E20" w:rsidP="003C6E20">
      <w:pPr>
        <w:spacing w:after="0" w:line="240" w:lineRule="auto"/>
        <w:rPr>
          <w:rFonts w:ascii="Palatino Linotype" w:eastAsia="Times New Roman" w:hAnsi="Palatino Linotype" w:cs="Times New Roman"/>
        </w:rPr>
      </w:pPr>
    </w:p>
    <w:p w14:paraId="63D31CE7" w14:textId="77777777" w:rsidR="003C6E20" w:rsidRDefault="003C6E20" w:rsidP="003C6E20">
      <w:pPr>
        <w:rPr>
          <w:rFonts w:ascii="Palatino Linotype" w:eastAsia="Times New Roman" w:hAnsi="Palatino Linotype" w:cs="Times New Roman"/>
          <w:color w:val="000000"/>
        </w:rPr>
      </w:pPr>
      <w:r>
        <w:rPr>
          <w:rFonts w:ascii="Palatino Linotype" w:eastAsia="Times New Roman" w:hAnsi="Palatino Linotype" w:cs="Times New Roman"/>
          <w:color w:val="000000"/>
        </w:rPr>
        <w:br w:type="page"/>
      </w:r>
    </w:p>
    <w:p w14:paraId="3508C061" w14:textId="7363C9DF" w:rsidR="003C6E20" w:rsidRDefault="003C6E20" w:rsidP="003C6E20">
      <w:pPr>
        <w:spacing w:after="0" w:line="240" w:lineRule="auto"/>
        <w:rPr>
          <w:rFonts w:ascii="Palatino Linotype" w:eastAsia="Times New Roman" w:hAnsi="Palatino Linotype" w:cs="Times New Roman"/>
          <w:b/>
          <w:bCs/>
          <w:color w:val="000000"/>
          <w:sz w:val="28"/>
          <w:szCs w:val="28"/>
        </w:rPr>
      </w:pPr>
      <w:r w:rsidRPr="00796F4F">
        <w:rPr>
          <w:rFonts w:ascii="Palatino Linotype" w:eastAsia="Times New Roman" w:hAnsi="Palatino Linotype" w:cs="Times New Roman"/>
          <w:b/>
          <w:bCs/>
          <w:color w:val="000000"/>
          <w:sz w:val="28"/>
          <w:szCs w:val="28"/>
        </w:rPr>
        <w:lastRenderedPageBreak/>
        <w:t xml:space="preserve">Policy </w:t>
      </w:r>
      <w:r>
        <w:rPr>
          <w:rFonts w:ascii="Palatino Linotype" w:eastAsia="Times New Roman" w:hAnsi="Palatino Linotype" w:cs="Times New Roman"/>
          <w:b/>
          <w:bCs/>
          <w:color w:val="000000"/>
          <w:sz w:val="28"/>
          <w:szCs w:val="28"/>
        </w:rPr>
        <w:t>F3</w:t>
      </w:r>
    </w:p>
    <w:p w14:paraId="2BC929BF" w14:textId="77777777" w:rsidR="003C6E20" w:rsidRPr="00796F4F" w:rsidRDefault="003C6E20" w:rsidP="003C6E20">
      <w:pPr>
        <w:spacing w:after="0" w:line="240" w:lineRule="auto"/>
        <w:rPr>
          <w:rFonts w:ascii="Palatino Linotype" w:eastAsia="Times New Roman" w:hAnsi="Palatino Linotype" w:cs="Times New Roman"/>
          <w:b/>
          <w:bCs/>
          <w:sz w:val="28"/>
          <w:szCs w:val="28"/>
        </w:rPr>
      </w:pPr>
    </w:p>
    <w:p w14:paraId="5F535C6D" w14:textId="77777777" w:rsidR="003C6E20" w:rsidRPr="00796F4F" w:rsidRDefault="003C6E20" w:rsidP="003C6E20">
      <w:pPr>
        <w:spacing w:after="0" w:line="240" w:lineRule="auto"/>
        <w:jc w:val="center"/>
        <w:rPr>
          <w:rFonts w:ascii="Palatino Linotype" w:eastAsia="Times New Roman" w:hAnsi="Palatino Linotype" w:cs="Times New Roman"/>
          <w:b/>
          <w:bCs/>
          <w:sz w:val="24"/>
          <w:szCs w:val="24"/>
        </w:rPr>
      </w:pPr>
      <w:r w:rsidRPr="00796F4F">
        <w:rPr>
          <w:rFonts w:ascii="Palatino Linotype" w:eastAsia="Times New Roman" w:hAnsi="Palatino Linotype" w:cs="Times New Roman"/>
          <w:b/>
          <w:bCs/>
          <w:color w:val="000000"/>
          <w:sz w:val="24"/>
          <w:szCs w:val="24"/>
        </w:rPr>
        <w:t xml:space="preserve">Assessments </w:t>
      </w:r>
      <w:r>
        <w:rPr>
          <w:rFonts w:ascii="Palatino Linotype" w:eastAsia="Times New Roman" w:hAnsi="Palatino Linotype" w:cs="Times New Roman"/>
          <w:b/>
          <w:bCs/>
          <w:color w:val="000000"/>
          <w:sz w:val="24"/>
          <w:szCs w:val="24"/>
        </w:rPr>
        <w:t>C</w:t>
      </w:r>
      <w:r w:rsidRPr="00796F4F">
        <w:rPr>
          <w:rFonts w:ascii="Palatino Linotype" w:eastAsia="Times New Roman" w:hAnsi="Palatino Linotype" w:cs="Times New Roman"/>
          <w:b/>
          <w:bCs/>
          <w:color w:val="000000"/>
          <w:sz w:val="24"/>
          <w:szCs w:val="24"/>
        </w:rPr>
        <w:t xml:space="preserve">onsidered as </w:t>
      </w:r>
      <w:r>
        <w:rPr>
          <w:rFonts w:ascii="Palatino Linotype" w:eastAsia="Times New Roman" w:hAnsi="Palatino Linotype" w:cs="Times New Roman"/>
          <w:b/>
          <w:bCs/>
          <w:color w:val="000000"/>
          <w:sz w:val="24"/>
          <w:szCs w:val="24"/>
        </w:rPr>
        <w:t>D</w:t>
      </w:r>
      <w:r w:rsidRPr="00796F4F">
        <w:rPr>
          <w:rFonts w:ascii="Palatino Linotype" w:eastAsia="Times New Roman" w:hAnsi="Palatino Linotype" w:cs="Times New Roman"/>
          <w:b/>
          <w:bCs/>
          <w:color w:val="000000"/>
          <w:sz w:val="24"/>
          <w:szCs w:val="24"/>
        </w:rPr>
        <w:t xml:space="preserve">emonstration of </w:t>
      </w:r>
      <w:r>
        <w:rPr>
          <w:rFonts w:ascii="Palatino Linotype" w:eastAsia="Times New Roman" w:hAnsi="Palatino Linotype" w:cs="Times New Roman"/>
          <w:b/>
          <w:bCs/>
          <w:color w:val="000000"/>
          <w:sz w:val="24"/>
          <w:szCs w:val="24"/>
        </w:rPr>
        <w:t>B</w:t>
      </w:r>
      <w:r w:rsidRPr="00796F4F">
        <w:rPr>
          <w:rFonts w:ascii="Palatino Linotype" w:eastAsia="Times New Roman" w:hAnsi="Palatino Linotype" w:cs="Times New Roman"/>
          <w:b/>
          <w:bCs/>
          <w:color w:val="000000"/>
          <w:sz w:val="24"/>
          <w:szCs w:val="24"/>
        </w:rPr>
        <w:t xml:space="preserve">asic </w:t>
      </w:r>
      <w:r>
        <w:rPr>
          <w:rFonts w:ascii="Palatino Linotype" w:eastAsia="Times New Roman" w:hAnsi="Palatino Linotype" w:cs="Times New Roman"/>
          <w:b/>
          <w:bCs/>
          <w:color w:val="000000"/>
          <w:sz w:val="24"/>
          <w:szCs w:val="24"/>
        </w:rPr>
        <w:t>C</w:t>
      </w:r>
      <w:r w:rsidRPr="00796F4F">
        <w:rPr>
          <w:rFonts w:ascii="Palatino Linotype" w:eastAsia="Times New Roman" w:hAnsi="Palatino Linotype" w:cs="Times New Roman"/>
          <w:b/>
          <w:bCs/>
          <w:color w:val="000000"/>
          <w:sz w:val="24"/>
          <w:szCs w:val="24"/>
        </w:rPr>
        <w:t>ompetency</w:t>
      </w:r>
    </w:p>
    <w:p w14:paraId="1C0DABD9" w14:textId="77777777" w:rsidR="003C6E20" w:rsidRPr="00796F4F" w:rsidRDefault="003C6E20" w:rsidP="003C6E20">
      <w:pPr>
        <w:spacing w:after="0" w:line="240" w:lineRule="auto"/>
        <w:rPr>
          <w:rFonts w:ascii="Palatino Linotype" w:eastAsia="Times New Roman" w:hAnsi="Palatino Linotype" w:cs="Times New Roman"/>
        </w:rPr>
      </w:pPr>
    </w:p>
    <w:p w14:paraId="53866D09" w14:textId="218152E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color w:val="000000"/>
        </w:rPr>
        <w:t xml:space="preserve">The Vermont Standards Board for Professional Educators recognizes meeting cut scores on any of the following assessments as demonstration of basic competency required for education licensure.  Cut scores for specific assessments are reviewed annually and published </w:t>
      </w:r>
      <w:r w:rsidRPr="00796F4F">
        <w:rPr>
          <w:rFonts w:ascii="Palatino Linotype" w:eastAsia="Times New Roman" w:hAnsi="Palatino Linotype" w:cs="Times New Roman"/>
          <w:color w:val="000000"/>
        </w:rPr>
        <w:t>online</w:t>
      </w:r>
      <w:r w:rsidRPr="00796F4F">
        <w:rPr>
          <w:rFonts w:ascii="Palatino Linotype" w:eastAsia="Times New Roman" w:hAnsi="Palatino Linotype" w:cs="Times New Roman"/>
          <w:color w:val="000000"/>
        </w:rPr>
        <w:t xml:space="preserve"> at </w:t>
      </w:r>
      <w:hyperlink r:id="rId7" w:history="1">
        <w:r w:rsidR="000C4C15" w:rsidRPr="001A3ECA">
          <w:rPr>
            <w:rStyle w:val="Hyperlink"/>
            <w:rFonts w:ascii="Palatino Linotype" w:eastAsia="Times New Roman" w:hAnsi="Palatino Linotype" w:cs="Times New Roman"/>
          </w:rPr>
          <w:t>www.education.</w:t>
        </w:r>
        <w:r w:rsidR="000C4C15" w:rsidRPr="00796F4F">
          <w:rPr>
            <w:rStyle w:val="Hyperlink"/>
            <w:rFonts w:ascii="Palatino Linotype" w:eastAsia="Times New Roman" w:hAnsi="Palatino Linotype" w:cs="Times New Roman"/>
          </w:rPr>
          <w:t>vermont.gov</w:t>
        </w:r>
      </w:hyperlink>
      <w:r w:rsidR="000C4C15">
        <w:rPr>
          <w:rFonts w:ascii="Palatino Linotype" w:eastAsia="Times New Roman" w:hAnsi="Palatino Linotype" w:cs="Times New Roman"/>
          <w:color w:val="000000"/>
        </w:rPr>
        <w:t xml:space="preserve">. </w:t>
      </w:r>
    </w:p>
    <w:p w14:paraId="6711DDDD"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rPr>
        <w:br/>
      </w:r>
    </w:p>
    <w:p w14:paraId="33796132" w14:textId="77777777" w:rsidR="003C6E20" w:rsidRPr="00796F4F" w:rsidRDefault="003C6E20" w:rsidP="003C6E20">
      <w:pPr>
        <w:numPr>
          <w:ilvl w:val="0"/>
          <w:numId w:val="6"/>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Praxis Core</w:t>
      </w:r>
    </w:p>
    <w:p w14:paraId="529282F2" w14:textId="77777777" w:rsidR="003C6E20" w:rsidRPr="00796F4F" w:rsidRDefault="003C6E20" w:rsidP="003C6E20">
      <w:pPr>
        <w:numPr>
          <w:ilvl w:val="0"/>
          <w:numId w:val="6"/>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SAT</w:t>
      </w:r>
    </w:p>
    <w:p w14:paraId="59B65834" w14:textId="77777777" w:rsidR="003C6E20" w:rsidRPr="00796F4F" w:rsidRDefault="003C6E20" w:rsidP="003C6E20">
      <w:pPr>
        <w:numPr>
          <w:ilvl w:val="0"/>
          <w:numId w:val="6"/>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ACT</w:t>
      </w:r>
    </w:p>
    <w:p w14:paraId="43629802" w14:textId="77777777" w:rsidR="003C6E20" w:rsidRPr="00796F4F" w:rsidRDefault="003C6E20" w:rsidP="003C6E20">
      <w:pPr>
        <w:numPr>
          <w:ilvl w:val="0"/>
          <w:numId w:val="6"/>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GRE</w:t>
      </w:r>
    </w:p>
    <w:p w14:paraId="386E6BC1" w14:textId="77777777" w:rsidR="003C6E20" w:rsidRPr="00796F4F" w:rsidRDefault="003C6E20" w:rsidP="003C6E20">
      <w:pPr>
        <w:numPr>
          <w:ilvl w:val="0"/>
          <w:numId w:val="6"/>
        </w:numPr>
        <w:spacing w:after="0" w:line="240" w:lineRule="auto"/>
        <w:textAlignment w:val="baseline"/>
        <w:rPr>
          <w:rFonts w:ascii="Palatino Linotype" w:eastAsia="Times New Roman" w:hAnsi="Palatino Linotype" w:cs="Times New Roman"/>
          <w:color w:val="000000"/>
        </w:rPr>
      </w:pPr>
      <w:r w:rsidRPr="00796F4F">
        <w:rPr>
          <w:rFonts w:ascii="Palatino Linotype" w:eastAsia="Times New Roman" w:hAnsi="Palatino Linotype" w:cs="Times New Roman"/>
          <w:color w:val="000000"/>
        </w:rPr>
        <w:t>ASVAB</w:t>
      </w:r>
    </w:p>
    <w:p w14:paraId="7F289B95" w14:textId="77777777" w:rsidR="003C6E20" w:rsidRPr="00796F4F" w:rsidRDefault="003C6E20" w:rsidP="003C6E20">
      <w:pPr>
        <w:spacing w:after="0" w:line="240" w:lineRule="auto"/>
        <w:rPr>
          <w:rFonts w:ascii="Palatino Linotype" w:eastAsia="Times New Roman" w:hAnsi="Palatino Linotype" w:cs="Times New Roman"/>
        </w:rPr>
      </w:pPr>
      <w:r w:rsidRPr="00796F4F">
        <w:rPr>
          <w:rFonts w:ascii="Palatino Linotype" w:eastAsia="Times New Roman" w:hAnsi="Palatino Linotype" w:cs="Times New Roman"/>
        </w:rPr>
        <w:br/>
      </w:r>
      <w:r w:rsidRPr="00796F4F">
        <w:rPr>
          <w:rFonts w:ascii="Palatino Linotype" w:eastAsia="Times New Roman" w:hAnsi="Palatino Linotype" w:cs="Times New Roman"/>
        </w:rPr>
        <w:br/>
      </w:r>
      <w:r w:rsidRPr="00796F4F">
        <w:rPr>
          <w:rFonts w:ascii="Palatino Linotype" w:eastAsia="Times New Roman" w:hAnsi="Palatino Linotype" w:cs="Times New Roman"/>
        </w:rPr>
        <w:br/>
      </w:r>
    </w:p>
    <w:p w14:paraId="3AE7981F" w14:textId="77777777" w:rsidR="003C6E20" w:rsidRPr="00A45976" w:rsidRDefault="003C6E20" w:rsidP="00C059FA">
      <w:pPr>
        <w:pStyle w:val="Header"/>
        <w:rPr>
          <w:rFonts w:ascii="Palatino Linotype" w:hAnsi="Palatino Linotype"/>
          <w:bCs/>
          <w:sz w:val="24"/>
          <w:szCs w:val="24"/>
        </w:rPr>
      </w:pPr>
    </w:p>
    <w:sectPr w:rsidR="003C6E20" w:rsidRPr="00A45976" w:rsidSect="0025630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389BA" w14:textId="77777777" w:rsidR="00B52616" w:rsidRDefault="00B52616">
      <w:pPr>
        <w:spacing w:after="0" w:line="240" w:lineRule="auto"/>
      </w:pPr>
      <w:r>
        <w:separator/>
      </w:r>
    </w:p>
  </w:endnote>
  <w:endnote w:type="continuationSeparator" w:id="0">
    <w:p w14:paraId="72230D4A" w14:textId="77777777" w:rsidR="00B52616" w:rsidRDefault="00B5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3BAF" w14:textId="77777777" w:rsidR="003C6E20" w:rsidRDefault="003C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1"/>
      <w:gridCol w:w="1580"/>
      <w:gridCol w:w="3649"/>
    </w:tblGrid>
    <w:tr w:rsidR="00796D5F" w14:paraId="1B1C8621" w14:textId="77777777" w:rsidTr="00F53994">
      <w:trPr>
        <w:cantSplit/>
        <w:trHeight w:val="633"/>
        <w:tblHeader/>
      </w:trPr>
      <w:tc>
        <w:tcPr>
          <w:tcW w:w="4248" w:type="dxa"/>
        </w:tcPr>
        <w:p w14:paraId="61E498E7" w14:textId="1028246E" w:rsidR="00982BDF" w:rsidRPr="00937FFC" w:rsidRDefault="000C4C15" w:rsidP="00796D5F">
          <w:pPr>
            <w:rPr>
              <w:sz w:val="20"/>
            </w:rPr>
          </w:pPr>
        </w:p>
      </w:tc>
      <w:tc>
        <w:tcPr>
          <w:tcW w:w="1620" w:type="dxa"/>
        </w:tcPr>
        <w:p w14:paraId="19CAC45D" w14:textId="6738FBFE" w:rsidR="00796D5F" w:rsidRPr="00937FFC" w:rsidRDefault="000C4C15" w:rsidP="00796D5F">
          <w:pPr>
            <w:jc w:val="center"/>
            <w:rPr>
              <w:sz w:val="20"/>
            </w:rPr>
          </w:pP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0C4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9C81" w14:textId="77777777" w:rsidR="003C6E20" w:rsidRDefault="003C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6F6F" w14:textId="77777777" w:rsidR="00B52616" w:rsidRDefault="00B52616">
      <w:pPr>
        <w:spacing w:after="0" w:line="240" w:lineRule="auto"/>
      </w:pPr>
      <w:r>
        <w:separator/>
      </w:r>
    </w:p>
  </w:footnote>
  <w:footnote w:type="continuationSeparator" w:id="0">
    <w:p w14:paraId="722D45A3" w14:textId="77777777" w:rsidR="00B52616" w:rsidRDefault="00B5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ECD2" w14:textId="77777777" w:rsidR="003C6E20" w:rsidRDefault="003C6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769933"/>
      <w:docPartObj>
        <w:docPartGallery w:val="Watermarks"/>
        <w:docPartUnique/>
      </w:docPartObj>
    </w:sdtPr>
    <w:sdtContent>
      <w:p w14:paraId="57FD0E89" w14:textId="46DB127B" w:rsidR="003C6E20" w:rsidRDefault="003C6E20">
        <w:pPr>
          <w:pStyle w:val="Header"/>
        </w:pPr>
        <w:r>
          <w:rPr>
            <w:noProof/>
          </w:rPr>
          <w:pict w14:anchorId="65A4B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BF83" w14:textId="77777777" w:rsidR="003C6E20" w:rsidRDefault="003C6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12DC1"/>
    <w:multiLevelType w:val="multilevel"/>
    <w:tmpl w:val="236E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0243B"/>
    <w:multiLevelType w:val="multilevel"/>
    <w:tmpl w:val="25D4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D2077"/>
    <w:multiLevelType w:val="multilevel"/>
    <w:tmpl w:val="3C66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C3775"/>
    <w:multiLevelType w:val="multilevel"/>
    <w:tmpl w:val="9A32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 w:ilvl="0">
        <w:numFmt w:val="upperLetter"/>
        <w:lvlText w:val="%1."/>
        <w:lvlJc w:val="left"/>
      </w:lvl>
    </w:lvlOverride>
  </w:num>
  <w:num w:numId="4">
    <w:abstractNumId w:val="4"/>
    <w:lvlOverride w:ilvl="0">
      <w:lvl w:ilvl="0">
        <w:numFmt w:val="upperLetter"/>
        <w:lvlText w:val="%1."/>
        <w:lvlJc w:val="left"/>
      </w:lvl>
    </w:lvlOverride>
  </w:num>
  <w:num w:numId="5">
    <w:abstractNumId w:val="2"/>
    <w:lvlOverride w:ilvl="0">
      <w:lvl w:ilvl="0">
        <w:numFmt w:val="upperLetter"/>
        <w:lvlText w:val="%1."/>
        <w:lvlJc w:val="left"/>
      </w:lvl>
    </w:lvlOverride>
  </w:num>
  <w:num w:numId="6">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02B49"/>
    <w:rsid w:val="00035589"/>
    <w:rsid w:val="0004552B"/>
    <w:rsid w:val="000B465B"/>
    <w:rsid w:val="000C3ACA"/>
    <w:rsid w:val="000C4C15"/>
    <w:rsid w:val="000D0141"/>
    <w:rsid w:val="000D6982"/>
    <w:rsid w:val="000F6BFF"/>
    <w:rsid w:val="0011006E"/>
    <w:rsid w:val="00142DB2"/>
    <w:rsid w:val="00153A74"/>
    <w:rsid w:val="001722F4"/>
    <w:rsid w:val="0017674C"/>
    <w:rsid w:val="001B3859"/>
    <w:rsid w:val="001F46B1"/>
    <w:rsid w:val="00226F44"/>
    <w:rsid w:val="00241F6A"/>
    <w:rsid w:val="00281D49"/>
    <w:rsid w:val="002C390C"/>
    <w:rsid w:val="002C3B57"/>
    <w:rsid w:val="002E444D"/>
    <w:rsid w:val="002F1DD5"/>
    <w:rsid w:val="003219B5"/>
    <w:rsid w:val="00327EB2"/>
    <w:rsid w:val="003319D3"/>
    <w:rsid w:val="003B02B7"/>
    <w:rsid w:val="003B1F0E"/>
    <w:rsid w:val="003B2D98"/>
    <w:rsid w:val="003C6E20"/>
    <w:rsid w:val="003D288A"/>
    <w:rsid w:val="003F4376"/>
    <w:rsid w:val="003F4EBF"/>
    <w:rsid w:val="004035F7"/>
    <w:rsid w:val="00437D29"/>
    <w:rsid w:val="00457397"/>
    <w:rsid w:val="00461F7A"/>
    <w:rsid w:val="0047283B"/>
    <w:rsid w:val="004B5A57"/>
    <w:rsid w:val="004C00B4"/>
    <w:rsid w:val="004C04EC"/>
    <w:rsid w:val="004C0C51"/>
    <w:rsid w:val="004C0ED6"/>
    <w:rsid w:val="00505157"/>
    <w:rsid w:val="005378F4"/>
    <w:rsid w:val="00537D47"/>
    <w:rsid w:val="00582F68"/>
    <w:rsid w:val="0058301C"/>
    <w:rsid w:val="00590B7E"/>
    <w:rsid w:val="005A51D2"/>
    <w:rsid w:val="005B17FB"/>
    <w:rsid w:val="005C73E7"/>
    <w:rsid w:val="005D1999"/>
    <w:rsid w:val="005E7622"/>
    <w:rsid w:val="00601B11"/>
    <w:rsid w:val="00632F07"/>
    <w:rsid w:val="0063527A"/>
    <w:rsid w:val="00636452"/>
    <w:rsid w:val="00661EA0"/>
    <w:rsid w:val="00687AD7"/>
    <w:rsid w:val="00693146"/>
    <w:rsid w:val="006970B4"/>
    <w:rsid w:val="006D1210"/>
    <w:rsid w:val="006F6967"/>
    <w:rsid w:val="00705421"/>
    <w:rsid w:val="00727B21"/>
    <w:rsid w:val="007463A5"/>
    <w:rsid w:val="00763BA1"/>
    <w:rsid w:val="007A6DF6"/>
    <w:rsid w:val="007B0997"/>
    <w:rsid w:val="008033B3"/>
    <w:rsid w:val="00870098"/>
    <w:rsid w:val="00877CCC"/>
    <w:rsid w:val="008C0078"/>
    <w:rsid w:val="008E430C"/>
    <w:rsid w:val="00902884"/>
    <w:rsid w:val="0091313E"/>
    <w:rsid w:val="009168D6"/>
    <w:rsid w:val="00925807"/>
    <w:rsid w:val="00997EFC"/>
    <w:rsid w:val="009B46B4"/>
    <w:rsid w:val="009E54C8"/>
    <w:rsid w:val="00A04893"/>
    <w:rsid w:val="00A111C3"/>
    <w:rsid w:val="00A23636"/>
    <w:rsid w:val="00A26511"/>
    <w:rsid w:val="00A45976"/>
    <w:rsid w:val="00A460AB"/>
    <w:rsid w:val="00A464C5"/>
    <w:rsid w:val="00A53D4A"/>
    <w:rsid w:val="00A56A6A"/>
    <w:rsid w:val="00AE1383"/>
    <w:rsid w:val="00AE3D4E"/>
    <w:rsid w:val="00B52616"/>
    <w:rsid w:val="00B81343"/>
    <w:rsid w:val="00B821E3"/>
    <w:rsid w:val="00B95492"/>
    <w:rsid w:val="00BA4ED9"/>
    <w:rsid w:val="00BC57C5"/>
    <w:rsid w:val="00BD393B"/>
    <w:rsid w:val="00BD6C43"/>
    <w:rsid w:val="00BE7453"/>
    <w:rsid w:val="00BF7C38"/>
    <w:rsid w:val="00C059FA"/>
    <w:rsid w:val="00C22FE4"/>
    <w:rsid w:val="00C354B6"/>
    <w:rsid w:val="00C41E32"/>
    <w:rsid w:val="00C61698"/>
    <w:rsid w:val="00C97652"/>
    <w:rsid w:val="00CA6794"/>
    <w:rsid w:val="00CE0855"/>
    <w:rsid w:val="00CE4AC0"/>
    <w:rsid w:val="00CF5B41"/>
    <w:rsid w:val="00D10F63"/>
    <w:rsid w:val="00D12C83"/>
    <w:rsid w:val="00D205EE"/>
    <w:rsid w:val="00D21143"/>
    <w:rsid w:val="00D627B5"/>
    <w:rsid w:val="00D85B08"/>
    <w:rsid w:val="00D978A4"/>
    <w:rsid w:val="00DA4CB7"/>
    <w:rsid w:val="00DA7A45"/>
    <w:rsid w:val="00DD031E"/>
    <w:rsid w:val="00DD4412"/>
    <w:rsid w:val="00DF025D"/>
    <w:rsid w:val="00E06E97"/>
    <w:rsid w:val="00E571C3"/>
    <w:rsid w:val="00EA3FD1"/>
    <w:rsid w:val="00EA4A46"/>
    <w:rsid w:val="00EC0054"/>
    <w:rsid w:val="00EC6C25"/>
    <w:rsid w:val="00ED6790"/>
    <w:rsid w:val="00EE3B36"/>
    <w:rsid w:val="00EF4ED1"/>
    <w:rsid w:val="00F017F2"/>
    <w:rsid w:val="00F10211"/>
    <w:rsid w:val="00F93A01"/>
    <w:rsid w:val="00F96E40"/>
    <w:rsid w:val="00FB7153"/>
    <w:rsid w:val="00FB756C"/>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paragraph" w:styleId="ListParagraph">
    <w:name w:val="List Paragraph"/>
    <w:basedOn w:val="Normal"/>
    <w:uiPriority w:val="34"/>
    <w:qFormat/>
    <w:rsid w:val="00C059FA"/>
    <w:pPr>
      <w:ind w:left="720"/>
      <w:contextualSpacing/>
    </w:pPr>
  </w:style>
  <w:style w:type="character" w:styleId="Hyperlink">
    <w:name w:val="Hyperlink"/>
    <w:basedOn w:val="DefaultParagraphFont"/>
    <w:uiPriority w:val="99"/>
    <w:unhideWhenUsed/>
    <w:rsid w:val="000C4C15"/>
    <w:rPr>
      <w:color w:val="0563C1" w:themeColor="hyperlink"/>
      <w:u w:val="single"/>
    </w:rPr>
  </w:style>
  <w:style w:type="character" w:styleId="UnresolvedMention">
    <w:name w:val="Unresolved Mention"/>
    <w:basedOn w:val="DefaultParagraphFont"/>
    <w:uiPriority w:val="99"/>
    <w:semiHidden/>
    <w:unhideWhenUsed/>
    <w:rsid w:val="000C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ucation.vermont.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760</Words>
  <Characters>4337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2022-01-07T22:35:00Z</dcterms:created>
  <dcterms:modified xsi:type="dcterms:W3CDTF">2022-01-07T22:35:00Z</dcterms:modified>
</cp:coreProperties>
</file>