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C0156" w14:textId="77777777" w:rsidR="00855499" w:rsidRPr="00855499" w:rsidRDefault="00855499" w:rsidP="00855499">
      <w:pPr>
        <w:jc w:val="center"/>
        <w:rPr>
          <w:rFonts w:cs="Times New Roman"/>
          <w:b/>
          <w:bCs w:val="0"/>
          <w:sz w:val="24"/>
          <w:szCs w:val="24"/>
          <w:u w:val="single"/>
        </w:rPr>
      </w:pPr>
      <w:r w:rsidRPr="00855499">
        <w:rPr>
          <w:rFonts w:cs="Times New Roman"/>
          <w:b/>
          <w:bCs w:val="0"/>
          <w:sz w:val="24"/>
          <w:szCs w:val="24"/>
          <w:u w:val="single"/>
        </w:rPr>
        <w:t>Transcript Review Worksheet</w:t>
      </w:r>
    </w:p>
    <w:p w14:paraId="672A6659" w14:textId="77777777" w:rsidR="00855499" w:rsidRPr="00855499" w:rsidRDefault="00855499" w:rsidP="00855499">
      <w:pPr>
        <w:jc w:val="center"/>
        <w:rPr>
          <w:rFonts w:cs="Times New Roman"/>
          <w:b/>
          <w:bCs w:val="0"/>
          <w:sz w:val="24"/>
          <w:szCs w:val="24"/>
          <w:u w:val="single"/>
        </w:rPr>
      </w:pPr>
    </w:p>
    <w:p w14:paraId="18822008" w14:textId="77777777" w:rsidR="00855499" w:rsidRPr="00855499" w:rsidRDefault="002114CA" w:rsidP="00855499">
      <w:pPr>
        <w:jc w:val="center"/>
        <w:rPr>
          <w:rFonts w:cs="Times New Roman"/>
          <w:b/>
          <w:bCs w:val="0"/>
          <w:sz w:val="24"/>
          <w:szCs w:val="24"/>
        </w:rPr>
      </w:pPr>
      <w:r>
        <w:rPr>
          <w:rFonts w:cs="Times New Roman"/>
          <w:b/>
          <w:bCs w:val="0"/>
          <w:sz w:val="24"/>
          <w:szCs w:val="24"/>
        </w:rPr>
        <w:t>5440-</w:t>
      </w:r>
      <w:r w:rsidR="00855499" w:rsidRPr="00855499">
        <w:rPr>
          <w:rFonts w:cs="Times New Roman"/>
          <w:b/>
          <w:bCs w:val="0"/>
          <w:sz w:val="24"/>
          <w:szCs w:val="24"/>
        </w:rPr>
        <w:t xml:space="preserve"> 13  Science</w:t>
      </w:r>
    </w:p>
    <w:p w14:paraId="0A37501D" w14:textId="77777777" w:rsidR="002114CA" w:rsidRDefault="002114CA" w:rsidP="00855499">
      <w:pPr>
        <w:ind w:left="-630" w:firstLine="630"/>
        <w:jc w:val="center"/>
        <w:rPr>
          <w:rFonts w:cs="Times New Roman"/>
          <w:bCs w:val="0"/>
          <w:i/>
        </w:rPr>
      </w:pPr>
    </w:p>
    <w:p w14:paraId="4F7732CA" w14:textId="77777777" w:rsidR="002114CA" w:rsidRDefault="00855499" w:rsidP="002114CA">
      <w:pPr>
        <w:jc w:val="center"/>
        <w:rPr>
          <w:rFonts w:eastAsia="Palatino Linotype" w:cs="Palatino Linotype"/>
          <w:b/>
        </w:rPr>
      </w:pPr>
      <w:r w:rsidRPr="002114CA">
        <w:rPr>
          <w:rFonts w:cs="Times New Roman"/>
          <w:bCs w:val="0"/>
          <w:iCs/>
        </w:rPr>
        <w:t>The holder is authorized to teach science in grades 7-12.</w:t>
      </w:r>
      <w:r w:rsidR="002114CA" w:rsidRPr="002114CA">
        <w:rPr>
          <w:rFonts w:eastAsia="Palatino Linotype" w:cs="Palatino Linotype"/>
          <w:b/>
        </w:rPr>
        <w:t xml:space="preserve"> </w:t>
      </w:r>
    </w:p>
    <w:p w14:paraId="5DAB6C7B" w14:textId="77777777" w:rsidR="002114CA" w:rsidRDefault="002114CA" w:rsidP="002114CA">
      <w:pPr>
        <w:jc w:val="center"/>
        <w:rPr>
          <w:rFonts w:eastAsia="Palatino Linotype" w:cs="Palatino Linotype"/>
          <w:b/>
        </w:rPr>
      </w:pPr>
    </w:p>
    <w:p w14:paraId="13631D15" w14:textId="77777777" w:rsidR="002114CA" w:rsidRPr="00545125" w:rsidRDefault="002114CA" w:rsidP="002114CA">
      <w:pPr>
        <w:jc w:val="center"/>
        <w:rPr>
          <w:rFonts w:eastAsia="Palatino Linotype" w:cs="Palatino Linotype"/>
          <w:b/>
        </w:rPr>
      </w:pPr>
      <w:r w:rsidRPr="00545125">
        <w:rPr>
          <w:rFonts w:eastAsia="Palatino Linotype" w:cs="Palatino Linotype"/>
          <w:b/>
        </w:rPr>
        <w:t>Name:  __________________________________Educator ID#______________________</w:t>
      </w:r>
    </w:p>
    <w:p w14:paraId="02EB378F" w14:textId="77777777" w:rsidR="002114CA" w:rsidRPr="00545125" w:rsidRDefault="002114CA" w:rsidP="002114CA">
      <w:pPr>
        <w:jc w:val="center"/>
        <w:rPr>
          <w:rFonts w:eastAsia="Palatino Linotype" w:cs="Palatino Linotype"/>
        </w:rPr>
      </w:pPr>
    </w:p>
    <w:p w14:paraId="7526EBEB" w14:textId="77777777" w:rsidR="002114CA" w:rsidRPr="00545125" w:rsidRDefault="004E1D44" w:rsidP="002114CA">
      <w:pPr>
        <w:jc w:val="center"/>
        <w:rPr>
          <w:rFonts w:cs="Times New Roman"/>
          <w:b/>
        </w:rPr>
      </w:pPr>
      <w:sdt>
        <w:sdtPr>
          <w:rPr>
            <w:rFonts w:ascii="Segoe UI Symbol" w:hAnsi="Segoe UI Symbol" w:cs="Segoe UI Symbol"/>
            <w:b/>
          </w:rPr>
          <w:id w:val="429404082"/>
          <w14:checkbox>
            <w14:checked w14:val="0"/>
            <w14:checkedState w14:val="2612" w14:font="MS Gothic"/>
            <w14:uncheckedState w14:val="2610" w14:font="MS Gothic"/>
          </w14:checkbox>
        </w:sdtPr>
        <w:sdtEndPr/>
        <w:sdtContent>
          <w:r w:rsidR="002114CA">
            <w:rPr>
              <w:rFonts w:ascii="MS Gothic" w:eastAsia="MS Gothic" w:hAnsi="MS Gothic" w:cs="Segoe UI Symbol" w:hint="eastAsia"/>
              <w:b/>
            </w:rPr>
            <w:t>☐</w:t>
          </w:r>
        </w:sdtContent>
      </w:sdt>
      <w:r w:rsidR="002114CA" w:rsidRPr="00545125">
        <w:rPr>
          <w:rFonts w:cs="Times New Roman"/>
          <w:b/>
        </w:rPr>
        <w:t xml:space="preserve"> Add Endorsement</w:t>
      </w:r>
      <w:r w:rsidR="002114CA" w:rsidRPr="00545125">
        <w:rPr>
          <w:rFonts w:cs="Times New Roman"/>
          <w:b/>
        </w:rPr>
        <w:tab/>
      </w:r>
      <w:r w:rsidR="002114CA" w:rsidRPr="00545125">
        <w:rPr>
          <w:rFonts w:cs="Times New Roman"/>
          <w:b/>
        </w:rPr>
        <w:tab/>
      </w:r>
      <w:r w:rsidR="002114CA" w:rsidRPr="00545125">
        <w:rPr>
          <w:rFonts w:cs="Times New Roman"/>
          <w:b/>
        </w:rPr>
        <w:tab/>
      </w:r>
      <w:sdt>
        <w:sdtPr>
          <w:rPr>
            <w:rFonts w:ascii="Segoe UI Symbol" w:hAnsi="Segoe UI Symbol" w:cs="Segoe UI Symbol"/>
            <w:b/>
          </w:rPr>
          <w:id w:val="-894731499"/>
          <w14:checkbox>
            <w14:checked w14:val="0"/>
            <w14:checkedState w14:val="2612" w14:font="MS Gothic"/>
            <w14:uncheckedState w14:val="2610" w14:font="MS Gothic"/>
          </w14:checkbox>
        </w:sdtPr>
        <w:sdtEndPr/>
        <w:sdtContent>
          <w:r w:rsidR="002114CA">
            <w:rPr>
              <w:rFonts w:ascii="MS Gothic" w:eastAsia="MS Gothic" w:hAnsi="MS Gothic" w:cs="Segoe UI Symbol" w:hint="eastAsia"/>
              <w:b/>
            </w:rPr>
            <w:t>☐</w:t>
          </w:r>
        </w:sdtContent>
      </w:sdt>
      <w:r w:rsidR="002114CA" w:rsidRPr="00545125">
        <w:rPr>
          <w:rFonts w:cs="Times New Roman"/>
          <w:b/>
        </w:rPr>
        <w:t xml:space="preserve"> Course Audit</w:t>
      </w:r>
    </w:p>
    <w:p w14:paraId="6A05A809" w14:textId="77777777" w:rsidR="002114CA" w:rsidRPr="00B01A2D" w:rsidRDefault="002114CA" w:rsidP="002114CA">
      <w:pPr>
        <w:jc w:val="center"/>
        <w:rPr>
          <w:rFonts w:eastAsia="Palatino Linotype" w:cs="Palatino Linotype"/>
          <w:b/>
          <w:i/>
          <w:u w:val="single"/>
        </w:rPr>
      </w:pPr>
    </w:p>
    <w:p w14:paraId="0BD7893E" w14:textId="77777777" w:rsidR="002114CA" w:rsidRDefault="002114CA" w:rsidP="002114CA">
      <w:pPr>
        <w:jc w:val="center"/>
        <w:rPr>
          <w:rFonts w:eastAsia="Palatino Linotype" w:cs="Palatino Linotype"/>
        </w:rPr>
      </w:pPr>
      <w:r w:rsidRPr="00F12489">
        <w:rPr>
          <w:rFonts w:eastAsia="Palatino Linotype" w:cs="Palatino Linotype"/>
        </w:rPr>
        <w:t xml:space="preserve">Please note that the transcript review worksheets indicate only the endorsement competencies that must be met. There may be additional jurisdictional requirements. </w:t>
      </w:r>
    </w:p>
    <w:p w14:paraId="34A6A74B" w14:textId="77777777" w:rsidR="002114CA" w:rsidRPr="00F12489" w:rsidRDefault="002114CA" w:rsidP="002114CA">
      <w:pPr>
        <w:jc w:val="center"/>
        <w:rPr>
          <w:rFonts w:eastAsia="Palatino Linotype" w:cs="Palatino Linotype"/>
        </w:rPr>
      </w:pPr>
      <w:r w:rsidRPr="00F12489">
        <w:rPr>
          <w:rFonts w:eastAsia="Palatino Linotype" w:cs="Palatino Linotype"/>
        </w:rPr>
        <w:t xml:space="preserve">For a full list of requirements, please consult the </w:t>
      </w:r>
      <w:hyperlink r:id="rId11" w:history="1">
        <w:r w:rsidRPr="00F12489">
          <w:rPr>
            <w:rStyle w:val="Hyperlink"/>
            <w:rFonts w:eastAsia="Palatino Linotype" w:cs="Palatino Linotype"/>
          </w:rPr>
          <w:t>Rules Governing the Licensing of Educators</w:t>
        </w:r>
      </w:hyperlink>
      <w:r w:rsidRPr="00F12489">
        <w:rPr>
          <w:rFonts w:eastAsia="Palatino Linotype" w:cs="Palatino Linotype"/>
        </w:rPr>
        <w:t xml:space="preserve">. </w:t>
      </w:r>
    </w:p>
    <w:p w14:paraId="5A39BBE3" w14:textId="77777777" w:rsidR="00855499" w:rsidRPr="00855499" w:rsidRDefault="00855499" w:rsidP="002114CA">
      <w:pPr>
        <w:ind w:left="-630" w:firstLine="630"/>
        <w:jc w:val="center"/>
        <w:rPr>
          <w:rFonts w:cs="Times New Roman"/>
          <w:bCs w:val="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5"/>
        <w:gridCol w:w="1780"/>
        <w:gridCol w:w="1958"/>
      </w:tblGrid>
      <w:tr w:rsidR="00855499" w:rsidRPr="00855499" w14:paraId="4430C825" w14:textId="77777777" w:rsidTr="2EAF5874">
        <w:trPr>
          <w:tblHeader/>
          <w:jc w:val="center"/>
        </w:trPr>
        <w:tc>
          <w:tcPr>
            <w:tcW w:w="6465" w:type="dxa"/>
            <w:tcBorders>
              <w:bottom w:val="single" w:sz="4" w:space="0" w:color="auto"/>
            </w:tcBorders>
            <w:shd w:val="clear" w:color="auto" w:fill="auto"/>
          </w:tcPr>
          <w:p w14:paraId="291E35A2" w14:textId="77777777" w:rsidR="00855499" w:rsidRPr="00855499" w:rsidRDefault="00855499" w:rsidP="00855499">
            <w:pPr>
              <w:keepNext/>
              <w:jc w:val="center"/>
              <w:outlineLvl w:val="5"/>
              <w:rPr>
                <w:rFonts w:cs="Times New Roman"/>
                <w:b/>
                <w:bCs w:val="0"/>
              </w:rPr>
            </w:pPr>
            <w:r w:rsidRPr="00855499">
              <w:rPr>
                <w:rFonts w:cs="Times New Roman"/>
                <w:b/>
                <w:bCs w:val="0"/>
              </w:rPr>
              <w:t>Content</w:t>
            </w:r>
          </w:p>
          <w:p w14:paraId="78607F21" w14:textId="77777777" w:rsidR="00855499" w:rsidRPr="00855499" w:rsidRDefault="00855499" w:rsidP="00855499">
            <w:pPr>
              <w:keepNext/>
              <w:jc w:val="center"/>
              <w:outlineLvl w:val="5"/>
              <w:rPr>
                <w:rFonts w:cs="Times New Roman"/>
                <w:b/>
                <w:bCs w:val="0"/>
              </w:rPr>
            </w:pPr>
            <w:r w:rsidRPr="00855499">
              <w:rPr>
                <w:rFonts w:cs="Times New Roman"/>
                <w:b/>
                <w:bCs w:val="0"/>
              </w:rPr>
              <w:t xml:space="preserve"> Topic</w:t>
            </w:r>
          </w:p>
        </w:tc>
        <w:tc>
          <w:tcPr>
            <w:tcW w:w="1780" w:type="dxa"/>
            <w:tcBorders>
              <w:bottom w:val="single" w:sz="4" w:space="0" w:color="auto"/>
            </w:tcBorders>
            <w:shd w:val="clear" w:color="auto" w:fill="auto"/>
          </w:tcPr>
          <w:p w14:paraId="156FD93D" w14:textId="77777777" w:rsidR="00855499" w:rsidRPr="00855499" w:rsidRDefault="00855499" w:rsidP="00855499">
            <w:pPr>
              <w:keepNext/>
              <w:jc w:val="center"/>
              <w:outlineLvl w:val="5"/>
              <w:rPr>
                <w:rFonts w:cs="Times New Roman"/>
                <w:b/>
                <w:bCs w:val="0"/>
              </w:rPr>
            </w:pPr>
            <w:r w:rsidRPr="00855499">
              <w:rPr>
                <w:rFonts w:cs="Times New Roman"/>
                <w:b/>
                <w:bCs w:val="0"/>
              </w:rPr>
              <w:t>College/</w:t>
            </w:r>
          </w:p>
          <w:p w14:paraId="6FDA3865" w14:textId="77777777" w:rsidR="00855499" w:rsidRPr="00855499" w:rsidRDefault="00855499" w:rsidP="00855499">
            <w:pPr>
              <w:keepNext/>
              <w:jc w:val="center"/>
              <w:outlineLvl w:val="5"/>
              <w:rPr>
                <w:rFonts w:cs="Times New Roman"/>
                <w:b/>
                <w:bCs w:val="0"/>
              </w:rPr>
            </w:pPr>
            <w:r w:rsidRPr="00855499">
              <w:rPr>
                <w:rFonts w:cs="Times New Roman"/>
                <w:b/>
                <w:bCs w:val="0"/>
              </w:rPr>
              <w:t>University</w:t>
            </w:r>
          </w:p>
        </w:tc>
        <w:tc>
          <w:tcPr>
            <w:tcW w:w="1958" w:type="dxa"/>
            <w:tcBorders>
              <w:bottom w:val="single" w:sz="4" w:space="0" w:color="auto"/>
            </w:tcBorders>
            <w:shd w:val="clear" w:color="auto" w:fill="auto"/>
          </w:tcPr>
          <w:p w14:paraId="36E5840A" w14:textId="77777777" w:rsidR="00855499" w:rsidRPr="00855499" w:rsidRDefault="00855499" w:rsidP="00855499">
            <w:pPr>
              <w:jc w:val="center"/>
              <w:rPr>
                <w:rFonts w:cs="Times New Roman"/>
                <w:b/>
                <w:bCs w:val="0"/>
              </w:rPr>
            </w:pPr>
            <w:r w:rsidRPr="00855499">
              <w:rPr>
                <w:rFonts w:cs="Times New Roman"/>
                <w:b/>
                <w:bCs w:val="0"/>
              </w:rPr>
              <w:t>Course</w:t>
            </w:r>
          </w:p>
          <w:p w14:paraId="15F94F2D" w14:textId="6A71E86C" w:rsidR="00855499" w:rsidRPr="00855499" w:rsidRDefault="4F7743F1" w:rsidP="2EAF5874">
            <w:pPr>
              <w:jc w:val="center"/>
              <w:rPr>
                <w:rFonts w:cs="Times New Roman"/>
                <w:b/>
              </w:rPr>
            </w:pPr>
            <w:r w:rsidRPr="2EAF5874">
              <w:rPr>
                <w:rFonts w:cs="Times New Roman"/>
                <w:b/>
              </w:rPr>
              <w:t>Name/</w:t>
            </w:r>
            <w:r w:rsidR="00855499" w:rsidRPr="2EAF5874">
              <w:rPr>
                <w:rFonts w:cs="Times New Roman"/>
                <w:b/>
              </w:rPr>
              <w:t>Number</w:t>
            </w:r>
          </w:p>
        </w:tc>
      </w:tr>
      <w:tr w:rsidR="2EAF5874" w14:paraId="05FB2BCE" w14:textId="77777777" w:rsidTr="2EAF5874">
        <w:trPr>
          <w:jc w:val="center"/>
        </w:trPr>
        <w:tc>
          <w:tcPr>
            <w:tcW w:w="6465" w:type="dxa"/>
            <w:shd w:val="clear" w:color="auto" w:fill="FFFFFF" w:themeFill="background1"/>
          </w:tcPr>
          <w:p w14:paraId="7BB1D4C0" w14:textId="4852ACCA" w:rsidR="46ABAD1F" w:rsidRDefault="46ABAD1F" w:rsidP="2EAF5874">
            <w:r w:rsidRPr="2EAF5874">
              <w:rPr>
                <w:rFonts w:eastAsia="Palatino Linotype" w:cs="Palatino Linotype"/>
              </w:rPr>
              <w:t xml:space="preserve">1.1. Learning Environments </w:t>
            </w:r>
          </w:p>
          <w:p w14:paraId="60A3C636" w14:textId="74C54683" w:rsidR="46ABAD1F" w:rsidRDefault="46ABAD1F" w:rsidP="2EAF5874">
            <w:r w:rsidRPr="2EAF5874">
              <w:rPr>
                <w:rFonts w:eastAsia="Palatino Linotype" w:cs="Palatino Linotype"/>
              </w:rPr>
              <w:t xml:space="preserve">Effective science </w:t>
            </w:r>
            <w:r w:rsidR="4590617C" w:rsidRPr="2EAF5874">
              <w:rPr>
                <w:rFonts w:eastAsia="Palatino Linotype" w:cs="Palatino Linotype"/>
              </w:rPr>
              <w:t>e</w:t>
            </w:r>
            <w:r w:rsidRPr="2EAF5874">
              <w:rPr>
                <w:rFonts w:eastAsia="Palatino Linotype" w:cs="Palatino Linotype"/>
              </w:rPr>
              <w:t>ducators are able to plan for engaging all students in science learning by setting appropriate goals that are consistent with knowledge of how students learn science and are aligned with Vermont state science standards. Instructional plans reflect the nature of science and three-dimensional learning that integrates Disciplinary Core Ideas, Science and Science and Engineering Practices, and Crosscutting Concepts. Instructional plans reflect the nature and social context of science, and inquiry. Educators design and select learning activities, instructional settings, and resources--including science-specific technology--to achieve those goals.</w:t>
            </w:r>
          </w:p>
        </w:tc>
        <w:tc>
          <w:tcPr>
            <w:tcW w:w="1780" w:type="dxa"/>
            <w:shd w:val="clear" w:color="auto" w:fill="FFFFFF" w:themeFill="background1"/>
          </w:tcPr>
          <w:p w14:paraId="48A9AAD2" w14:textId="4BEF393B" w:rsidR="2EAF5874" w:rsidRDefault="2EAF5874" w:rsidP="2EAF5874">
            <w:pPr>
              <w:rPr>
                <w:b/>
              </w:rPr>
            </w:pPr>
          </w:p>
        </w:tc>
        <w:tc>
          <w:tcPr>
            <w:tcW w:w="1958" w:type="dxa"/>
            <w:shd w:val="clear" w:color="auto" w:fill="FFFFFF" w:themeFill="background1"/>
          </w:tcPr>
          <w:p w14:paraId="030188BD" w14:textId="6D567BF1" w:rsidR="2EAF5874" w:rsidRDefault="2EAF5874" w:rsidP="2EAF5874">
            <w:pPr>
              <w:rPr>
                <w:b/>
              </w:rPr>
            </w:pPr>
          </w:p>
        </w:tc>
      </w:tr>
      <w:tr w:rsidR="2EAF5874" w14:paraId="7E10DFF0" w14:textId="77777777" w:rsidTr="2EAF5874">
        <w:trPr>
          <w:jc w:val="center"/>
        </w:trPr>
        <w:tc>
          <w:tcPr>
            <w:tcW w:w="6465" w:type="dxa"/>
            <w:shd w:val="clear" w:color="auto" w:fill="FFFFFF" w:themeFill="background1"/>
          </w:tcPr>
          <w:p w14:paraId="4D6EEA58" w14:textId="3EF0DC8F" w:rsidR="46ABAD1F" w:rsidRDefault="46ABAD1F" w:rsidP="2EAF5874">
            <w:r w:rsidRPr="2EAF5874">
              <w:rPr>
                <w:rFonts w:eastAsia="Palatino Linotype" w:cs="Palatino Linotype"/>
              </w:rPr>
              <w:t>1.1.1. Educators use a variety of instructional strategies that demonstrate knowledge and understanding of how to select the appropriate teaching and learning activities – including laboratory or field settings and applicable instruments and/or technology--to allow all students to learn. These strategies are inclusive and motivating for all students.</w:t>
            </w:r>
          </w:p>
        </w:tc>
        <w:tc>
          <w:tcPr>
            <w:tcW w:w="1780" w:type="dxa"/>
            <w:shd w:val="clear" w:color="auto" w:fill="FFFFFF" w:themeFill="background1"/>
          </w:tcPr>
          <w:p w14:paraId="4B8951FC" w14:textId="2F02F2AA" w:rsidR="2EAF5874" w:rsidRDefault="2EAF5874" w:rsidP="2EAF5874">
            <w:pPr>
              <w:rPr>
                <w:b/>
              </w:rPr>
            </w:pPr>
          </w:p>
        </w:tc>
        <w:tc>
          <w:tcPr>
            <w:tcW w:w="1958" w:type="dxa"/>
            <w:shd w:val="clear" w:color="auto" w:fill="FFFFFF" w:themeFill="background1"/>
          </w:tcPr>
          <w:p w14:paraId="43D03EAC" w14:textId="48F30564" w:rsidR="2EAF5874" w:rsidRDefault="2EAF5874" w:rsidP="2EAF5874">
            <w:pPr>
              <w:rPr>
                <w:b/>
              </w:rPr>
            </w:pPr>
          </w:p>
        </w:tc>
      </w:tr>
      <w:tr w:rsidR="2EAF5874" w14:paraId="1D3943AB" w14:textId="77777777" w:rsidTr="2EAF5874">
        <w:trPr>
          <w:jc w:val="center"/>
        </w:trPr>
        <w:tc>
          <w:tcPr>
            <w:tcW w:w="6465" w:type="dxa"/>
            <w:shd w:val="clear" w:color="auto" w:fill="FFFFFF" w:themeFill="background1"/>
          </w:tcPr>
          <w:p w14:paraId="4B147E59" w14:textId="76E9CCBE" w:rsidR="46ABAD1F" w:rsidRDefault="46ABAD1F" w:rsidP="2EAF5874">
            <w:r w:rsidRPr="2EAF5874">
              <w:rPr>
                <w:rFonts w:eastAsia="Palatino Linotype" w:cs="Palatino Linotype"/>
              </w:rPr>
              <w:t>1.1.2. Educators create a knowledge-building culture that encourages intellectual risk-taking and provides a safe environment for students to propose solutions and explore the accuracy of their explanations.</w:t>
            </w:r>
          </w:p>
        </w:tc>
        <w:tc>
          <w:tcPr>
            <w:tcW w:w="1780" w:type="dxa"/>
            <w:shd w:val="clear" w:color="auto" w:fill="FFFFFF" w:themeFill="background1"/>
          </w:tcPr>
          <w:p w14:paraId="5B35579D" w14:textId="14486700" w:rsidR="2EAF5874" w:rsidRDefault="2EAF5874" w:rsidP="2EAF5874">
            <w:pPr>
              <w:rPr>
                <w:b/>
              </w:rPr>
            </w:pPr>
          </w:p>
        </w:tc>
        <w:tc>
          <w:tcPr>
            <w:tcW w:w="1958" w:type="dxa"/>
            <w:shd w:val="clear" w:color="auto" w:fill="FFFFFF" w:themeFill="background1"/>
          </w:tcPr>
          <w:p w14:paraId="0143B28D" w14:textId="18EA1496" w:rsidR="2EAF5874" w:rsidRDefault="2EAF5874" w:rsidP="2EAF5874">
            <w:pPr>
              <w:rPr>
                <w:b/>
              </w:rPr>
            </w:pPr>
          </w:p>
        </w:tc>
      </w:tr>
      <w:tr w:rsidR="2EAF5874" w14:paraId="1B092181" w14:textId="77777777" w:rsidTr="2EAF5874">
        <w:trPr>
          <w:jc w:val="center"/>
        </w:trPr>
        <w:tc>
          <w:tcPr>
            <w:tcW w:w="6465" w:type="dxa"/>
            <w:shd w:val="clear" w:color="auto" w:fill="FFFFFF" w:themeFill="background1"/>
          </w:tcPr>
          <w:p w14:paraId="6316138C" w14:textId="7AD1C723" w:rsidR="46ABAD1F" w:rsidRDefault="46ABAD1F" w:rsidP="2EAF5874">
            <w:r w:rsidRPr="2EAF5874">
              <w:rPr>
                <w:rFonts w:eastAsia="Palatino Linotype" w:cs="Palatino Linotype"/>
              </w:rPr>
              <w:t xml:space="preserve">1.1.3. Educators develop learning opportunities where students construct explanations for observed phenomena and find </w:t>
            </w:r>
            <w:r w:rsidRPr="2EAF5874">
              <w:rPr>
                <w:rFonts w:eastAsia="Palatino Linotype" w:cs="Palatino Linotype"/>
              </w:rPr>
              <w:lastRenderedPageBreak/>
              <w:t>evidence to support these explanations or design solutions to engineering problems.</w:t>
            </w:r>
          </w:p>
        </w:tc>
        <w:tc>
          <w:tcPr>
            <w:tcW w:w="1780" w:type="dxa"/>
            <w:shd w:val="clear" w:color="auto" w:fill="FFFFFF" w:themeFill="background1"/>
          </w:tcPr>
          <w:p w14:paraId="01C2698F" w14:textId="3ED8DBE1" w:rsidR="2EAF5874" w:rsidRDefault="2EAF5874" w:rsidP="2EAF5874">
            <w:pPr>
              <w:rPr>
                <w:b/>
              </w:rPr>
            </w:pPr>
          </w:p>
        </w:tc>
        <w:tc>
          <w:tcPr>
            <w:tcW w:w="1958" w:type="dxa"/>
            <w:shd w:val="clear" w:color="auto" w:fill="FFFFFF" w:themeFill="background1"/>
          </w:tcPr>
          <w:p w14:paraId="180CB2CC" w14:textId="0C2C8EAF" w:rsidR="2EAF5874" w:rsidRDefault="2EAF5874" w:rsidP="2EAF5874">
            <w:pPr>
              <w:rPr>
                <w:b/>
              </w:rPr>
            </w:pPr>
          </w:p>
        </w:tc>
      </w:tr>
      <w:tr w:rsidR="2EAF5874" w14:paraId="53079153" w14:textId="77777777" w:rsidTr="2EAF5874">
        <w:trPr>
          <w:jc w:val="center"/>
        </w:trPr>
        <w:tc>
          <w:tcPr>
            <w:tcW w:w="6465" w:type="dxa"/>
            <w:shd w:val="clear" w:color="auto" w:fill="FFFFFF" w:themeFill="background1"/>
          </w:tcPr>
          <w:p w14:paraId="28E5BF4E" w14:textId="4A346AE4" w:rsidR="4CE5310A" w:rsidRDefault="4CE5310A" w:rsidP="2EAF5874">
            <w:r w:rsidRPr="2EAF5874">
              <w:rPr>
                <w:rFonts w:eastAsia="Palatino Linotype" w:cs="Palatino Linotype"/>
              </w:rPr>
              <w:t>1.1.4. Educators provide students with equitable opportunities to develop their scientific understandings of the Vermont state science standards.</w:t>
            </w:r>
          </w:p>
        </w:tc>
        <w:tc>
          <w:tcPr>
            <w:tcW w:w="1780" w:type="dxa"/>
            <w:shd w:val="clear" w:color="auto" w:fill="FFFFFF" w:themeFill="background1"/>
          </w:tcPr>
          <w:p w14:paraId="7DFBD134" w14:textId="7D6DBC90" w:rsidR="2EAF5874" w:rsidRDefault="2EAF5874" w:rsidP="2EAF5874">
            <w:pPr>
              <w:rPr>
                <w:b/>
              </w:rPr>
            </w:pPr>
          </w:p>
        </w:tc>
        <w:tc>
          <w:tcPr>
            <w:tcW w:w="1958" w:type="dxa"/>
            <w:shd w:val="clear" w:color="auto" w:fill="FFFFFF" w:themeFill="background1"/>
          </w:tcPr>
          <w:p w14:paraId="2DEC8608" w14:textId="27485DB4" w:rsidR="2EAF5874" w:rsidRDefault="2EAF5874" w:rsidP="2EAF5874">
            <w:pPr>
              <w:rPr>
                <w:b/>
              </w:rPr>
            </w:pPr>
          </w:p>
        </w:tc>
      </w:tr>
      <w:tr w:rsidR="2EAF5874" w14:paraId="082C91D0" w14:textId="77777777" w:rsidTr="2EAF5874">
        <w:trPr>
          <w:jc w:val="center"/>
        </w:trPr>
        <w:tc>
          <w:tcPr>
            <w:tcW w:w="6465" w:type="dxa"/>
            <w:shd w:val="clear" w:color="auto" w:fill="FFFFFF" w:themeFill="background1"/>
          </w:tcPr>
          <w:p w14:paraId="1245F64B" w14:textId="6CE647DB" w:rsidR="4CE5310A" w:rsidRDefault="4CE5310A" w:rsidP="2EAF5874">
            <w:r w:rsidRPr="2EAF5874">
              <w:rPr>
                <w:rFonts w:eastAsia="Palatino Linotype" w:cs="Palatino Linotype"/>
              </w:rPr>
              <w:t xml:space="preserve">1.2. Physical Safety </w:t>
            </w:r>
          </w:p>
          <w:p w14:paraId="50795624" w14:textId="0309E868" w:rsidR="4CE5310A" w:rsidRDefault="4CE5310A" w:rsidP="2EAF5874">
            <w:r w:rsidRPr="2EAF5874">
              <w:rPr>
                <w:rFonts w:eastAsia="Palatino Linotype" w:cs="Palatino Linotype"/>
              </w:rPr>
              <w:t>Effective science educators can demonstrate and maintain safety procedures, chemical safety, and the ethical treatment of living organisms.</w:t>
            </w:r>
          </w:p>
        </w:tc>
        <w:tc>
          <w:tcPr>
            <w:tcW w:w="1780" w:type="dxa"/>
            <w:shd w:val="clear" w:color="auto" w:fill="FFFFFF" w:themeFill="background1"/>
          </w:tcPr>
          <w:p w14:paraId="59A51B37" w14:textId="7CF36527" w:rsidR="2EAF5874" w:rsidRDefault="2EAF5874" w:rsidP="2EAF5874">
            <w:pPr>
              <w:rPr>
                <w:b/>
              </w:rPr>
            </w:pPr>
          </w:p>
        </w:tc>
        <w:tc>
          <w:tcPr>
            <w:tcW w:w="1958" w:type="dxa"/>
            <w:shd w:val="clear" w:color="auto" w:fill="FFFFFF" w:themeFill="background1"/>
          </w:tcPr>
          <w:p w14:paraId="317CEAC1" w14:textId="72CDFEDC" w:rsidR="2EAF5874" w:rsidRDefault="2EAF5874" w:rsidP="2EAF5874">
            <w:pPr>
              <w:rPr>
                <w:b/>
              </w:rPr>
            </w:pPr>
          </w:p>
        </w:tc>
      </w:tr>
      <w:tr w:rsidR="2EAF5874" w14:paraId="7299F6BB" w14:textId="77777777" w:rsidTr="2EAF5874">
        <w:trPr>
          <w:jc w:val="center"/>
        </w:trPr>
        <w:tc>
          <w:tcPr>
            <w:tcW w:w="6465" w:type="dxa"/>
            <w:shd w:val="clear" w:color="auto" w:fill="FFFFFF" w:themeFill="background1"/>
          </w:tcPr>
          <w:p w14:paraId="7D7E5C63" w14:textId="3786BB4E" w:rsidR="395CD04E" w:rsidRDefault="395CD04E" w:rsidP="2EAF5874">
            <w:r w:rsidRPr="2EAF5874">
              <w:rPr>
                <w:rFonts w:eastAsia="Palatino Linotype" w:cs="Palatino Linotype"/>
              </w:rPr>
              <w:t>1.2.1. Design activities that demonstrate the safe and proper techniques for the preparation, storage, dispensing, supervision, and disposal of all instructional materials.</w:t>
            </w:r>
          </w:p>
        </w:tc>
        <w:tc>
          <w:tcPr>
            <w:tcW w:w="1780" w:type="dxa"/>
            <w:shd w:val="clear" w:color="auto" w:fill="FFFFFF" w:themeFill="background1"/>
          </w:tcPr>
          <w:p w14:paraId="5C843ECA" w14:textId="5BCDA3D1" w:rsidR="2EAF5874" w:rsidRDefault="2EAF5874" w:rsidP="2EAF5874">
            <w:pPr>
              <w:rPr>
                <w:b/>
              </w:rPr>
            </w:pPr>
          </w:p>
        </w:tc>
        <w:tc>
          <w:tcPr>
            <w:tcW w:w="1958" w:type="dxa"/>
            <w:shd w:val="clear" w:color="auto" w:fill="FFFFFF" w:themeFill="background1"/>
          </w:tcPr>
          <w:p w14:paraId="3A91B4FD" w14:textId="2266220F" w:rsidR="2EAF5874" w:rsidRDefault="2EAF5874" w:rsidP="2EAF5874">
            <w:pPr>
              <w:rPr>
                <w:b/>
              </w:rPr>
            </w:pPr>
          </w:p>
        </w:tc>
      </w:tr>
      <w:tr w:rsidR="2EAF5874" w14:paraId="1D6E623B" w14:textId="77777777" w:rsidTr="2EAF5874">
        <w:trPr>
          <w:jc w:val="center"/>
        </w:trPr>
        <w:tc>
          <w:tcPr>
            <w:tcW w:w="6465" w:type="dxa"/>
            <w:shd w:val="clear" w:color="auto" w:fill="FFFFFF" w:themeFill="background1"/>
          </w:tcPr>
          <w:p w14:paraId="65407606" w14:textId="240B0754" w:rsidR="395CD04E" w:rsidRDefault="395CD04E" w:rsidP="2EAF5874">
            <w:r w:rsidRPr="2EAF5874">
              <w:rPr>
                <w:rFonts w:eastAsia="Palatino Linotype" w:cs="Palatino Linotype"/>
              </w:rPr>
              <w:t>1.2.2. Design and demonstrate activities that show an ability to implement emergency procedures and the maintenance of safety equipment, policies, and procedures that comply with established state and/or national guidelines. Educators ensure safe activities appropriate for the abilities of all students.</w:t>
            </w:r>
          </w:p>
        </w:tc>
        <w:tc>
          <w:tcPr>
            <w:tcW w:w="1780" w:type="dxa"/>
            <w:shd w:val="clear" w:color="auto" w:fill="FFFFFF" w:themeFill="background1"/>
          </w:tcPr>
          <w:p w14:paraId="5520D8DC" w14:textId="6EAC28C1" w:rsidR="2EAF5874" w:rsidRDefault="2EAF5874" w:rsidP="2EAF5874">
            <w:pPr>
              <w:rPr>
                <w:b/>
              </w:rPr>
            </w:pPr>
          </w:p>
        </w:tc>
        <w:tc>
          <w:tcPr>
            <w:tcW w:w="1958" w:type="dxa"/>
            <w:shd w:val="clear" w:color="auto" w:fill="FFFFFF" w:themeFill="background1"/>
          </w:tcPr>
          <w:p w14:paraId="53B7BA24" w14:textId="1766EAD8" w:rsidR="2EAF5874" w:rsidRDefault="2EAF5874" w:rsidP="2EAF5874">
            <w:pPr>
              <w:rPr>
                <w:b/>
              </w:rPr>
            </w:pPr>
          </w:p>
        </w:tc>
      </w:tr>
      <w:tr w:rsidR="2EAF5874" w14:paraId="327FA3E2" w14:textId="77777777" w:rsidTr="2EAF5874">
        <w:trPr>
          <w:jc w:val="center"/>
        </w:trPr>
        <w:tc>
          <w:tcPr>
            <w:tcW w:w="6465" w:type="dxa"/>
            <w:shd w:val="clear" w:color="auto" w:fill="FFFFFF" w:themeFill="background1"/>
          </w:tcPr>
          <w:p w14:paraId="61FCAE99" w14:textId="299DDB5D" w:rsidR="395CD04E" w:rsidRDefault="395CD04E" w:rsidP="2EAF5874">
            <w:r w:rsidRPr="2EAF5874">
              <w:rPr>
                <w:rFonts w:eastAsia="Palatino Linotype" w:cs="Palatino Linotype"/>
              </w:rPr>
              <w:t>1.2.3. Design and demonstrate activities that show ethical decision-making with respect to the treatment of all living organisms in and out of the classroom. They emphasize safe, humane, and ethical treatment of animals and comply with the legal restrictions on the collection, keeping, and use of living organisms</w:t>
            </w:r>
          </w:p>
        </w:tc>
        <w:tc>
          <w:tcPr>
            <w:tcW w:w="1780" w:type="dxa"/>
            <w:shd w:val="clear" w:color="auto" w:fill="FFFFFF" w:themeFill="background1"/>
          </w:tcPr>
          <w:p w14:paraId="3D6329D6" w14:textId="4DEDBCF7" w:rsidR="2EAF5874" w:rsidRDefault="2EAF5874" w:rsidP="2EAF5874">
            <w:pPr>
              <w:rPr>
                <w:b/>
              </w:rPr>
            </w:pPr>
          </w:p>
        </w:tc>
        <w:tc>
          <w:tcPr>
            <w:tcW w:w="1958" w:type="dxa"/>
            <w:shd w:val="clear" w:color="auto" w:fill="FFFFFF" w:themeFill="background1"/>
          </w:tcPr>
          <w:p w14:paraId="5D8DF490" w14:textId="69FDC2D8" w:rsidR="2EAF5874" w:rsidRDefault="2EAF5874" w:rsidP="2EAF5874">
            <w:pPr>
              <w:rPr>
                <w:b/>
              </w:rPr>
            </w:pPr>
          </w:p>
        </w:tc>
      </w:tr>
      <w:tr w:rsidR="2EAF5874" w14:paraId="320ED4E8" w14:textId="77777777" w:rsidTr="2EAF5874">
        <w:trPr>
          <w:jc w:val="center"/>
        </w:trPr>
        <w:tc>
          <w:tcPr>
            <w:tcW w:w="6465" w:type="dxa"/>
            <w:shd w:val="clear" w:color="auto" w:fill="FFFFFF" w:themeFill="background1"/>
          </w:tcPr>
          <w:p w14:paraId="29919FC8" w14:textId="0BCE87E1" w:rsidR="395CD04E" w:rsidRDefault="395CD04E" w:rsidP="2EAF5874">
            <w:pPr>
              <w:rPr>
                <w:rFonts w:eastAsia="Palatino Linotype" w:cs="Palatino Linotype"/>
              </w:rPr>
            </w:pPr>
            <w:r w:rsidRPr="2EAF5874">
              <w:rPr>
                <w:rFonts w:eastAsia="Palatino Linotype" w:cs="Palatino Linotype"/>
              </w:rPr>
              <w:t>2.1. Content Knowledge and Skills</w:t>
            </w:r>
          </w:p>
          <w:p w14:paraId="534FA3A1" w14:textId="5217B213" w:rsidR="395CD04E" w:rsidRDefault="395CD04E" w:rsidP="2EAF5874">
            <w:pPr>
              <w:rPr>
                <w:rFonts w:eastAsia="Palatino Linotype" w:cs="Palatino Linotype"/>
              </w:rPr>
            </w:pPr>
            <w:r w:rsidRPr="2EAF5874">
              <w:rPr>
                <w:rFonts w:eastAsia="Palatino Linotype" w:cs="Palatino Linotype"/>
              </w:rPr>
              <w:t>Educators demonstrate understanding of the major concepts, principles, theories, laws, and interrelationships of the major fields of science and the supporting roles of science-specific technology.</w:t>
            </w:r>
          </w:p>
        </w:tc>
        <w:tc>
          <w:tcPr>
            <w:tcW w:w="1780" w:type="dxa"/>
            <w:shd w:val="clear" w:color="auto" w:fill="FFFFFF" w:themeFill="background1"/>
          </w:tcPr>
          <w:p w14:paraId="12A7727D" w14:textId="4623483F" w:rsidR="2EAF5874" w:rsidRDefault="2EAF5874" w:rsidP="2EAF5874">
            <w:pPr>
              <w:rPr>
                <w:b/>
              </w:rPr>
            </w:pPr>
          </w:p>
        </w:tc>
        <w:tc>
          <w:tcPr>
            <w:tcW w:w="1958" w:type="dxa"/>
            <w:shd w:val="clear" w:color="auto" w:fill="FFFFFF" w:themeFill="background1"/>
          </w:tcPr>
          <w:p w14:paraId="0B81A313" w14:textId="2CC998C8" w:rsidR="2EAF5874" w:rsidRDefault="2EAF5874" w:rsidP="2EAF5874">
            <w:pPr>
              <w:rPr>
                <w:b/>
              </w:rPr>
            </w:pPr>
          </w:p>
        </w:tc>
      </w:tr>
      <w:tr w:rsidR="00855499" w:rsidRPr="00855499" w14:paraId="1F66FA2E" w14:textId="77777777" w:rsidTr="2EAF5874">
        <w:trPr>
          <w:trHeight w:val="1380"/>
          <w:jc w:val="center"/>
        </w:trPr>
        <w:tc>
          <w:tcPr>
            <w:tcW w:w="6465" w:type="dxa"/>
            <w:shd w:val="clear" w:color="auto" w:fill="FFFFFF" w:themeFill="background1"/>
          </w:tcPr>
          <w:p w14:paraId="40B9C355" w14:textId="4A76AE58" w:rsidR="00855499" w:rsidRPr="00855499" w:rsidRDefault="395CD04E" w:rsidP="2EAF5874">
            <w:pPr>
              <w:rPr>
                <w:rFonts w:eastAsia="Palatino Linotype" w:cs="Palatino Linotype"/>
              </w:rPr>
            </w:pPr>
            <w:r w:rsidRPr="2EAF5874">
              <w:rPr>
                <w:rFonts w:eastAsia="Palatino Linotype" w:cs="Palatino Linotype"/>
              </w:rPr>
              <w:t xml:space="preserve">2.1.1. Physical Science </w:t>
            </w:r>
          </w:p>
          <w:p w14:paraId="75C54625" w14:textId="358C9E34" w:rsidR="00855499" w:rsidRPr="00855499" w:rsidRDefault="395CD04E" w:rsidP="2EAF5874">
            <w:pPr>
              <w:pStyle w:val="ListParagraph"/>
              <w:numPr>
                <w:ilvl w:val="0"/>
                <w:numId w:val="3"/>
              </w:numPr>
              <w:rPr>
                <w:rFonts w:ascii="Palatino Linotype" w:eastAsia="Palatino Linotype" w:hAnsi="Palatino Linotype" w:cs="Palatino Linotype"/>
              </w:rPr>
            </w:pPr>
            <w:r w:rsidRPr="2EAF5874">
              <w:rPr>
                <w:rFonts w:ascii="Palatino Linotype" w:eastAsia="Palatino Linotype" w:hAnsi="Palatino Linotype" w:cs="Palatino Linotype"/>
              </w:rPr>
              <w:t xml:space="preserve">2.1.1.1. Matter and Its Interactions </w:t>
            </w:r>
          </w:p>
          <w:p w14:paraId="3F22E4F8" w14:textId="0B0EBF2A" w:rsidR="00855499" w:rsidRPr="00855499" w:rsidRDefault="395CD04E" w:rsidP="2EAF5874">
            <w:pPr>
              <w:pStyle w:val="ListParagraph"/>
              <w:numPr>
                <w:ilvl w:val="0"/>
                <w:numId w:val="3"/>
              </w:numPr>
              <w:rPr>
                <w:rFonts w:ascii="Palatino Linotype" w:eastAsia="Palatino Linotype" w:hAnsi="Palatino Linotype" w:cs="Palatino Linotype"/>
              </w:rPr>
            </w:pPr>
            <w:r w:rsidRPr="2EAF5874">
              <w:rPr>
                <w:rFonts w:ascii="Palatino Linotype" w:eastAsia="Palatino Linotype" w:hAnsi="Palatino Linotype" w:cs="Palatino Linotype"/>
              </w:rPr>
              <w:t>2.1.1.2. Motion and Stability: Forces and Interactions</w:t>
            </w:r>
          </w:p>
          <w:p w14:paraId="41C8F396" w14:textId="79EBB85F" w:rsidR="00855499" w:rsidRPr="00855499" w:rsidRDefault="395CD04E" w:rsidP="2EAF5874">
            <w:pPr>
              <w:pStyle w:val="ListParagraph"/>
              <w:numPr>
                <w:ilvl w:val="0"/>
                <w:numId w:val="3"/>
              </w:numPr>
              <w:rPr>
                <w:rFonts w:ascii="Palatino Linotype" w:eastAsia="Palatino Linotype" w:hAnsi="Palatino Linotype" w:cs="Palatino Linotype"/>
              </w:rPr>
            </w:pPr>
            <w:r w:rsidRPr="2EAF5874">
              <w:rPr>
                <w:rFonts w:ascii="Palatino Linotype" w:eastAsia="Palatino Linotype" w:hAnsi="Palatino Linotype" w:cs="Palatino Linotype"/>
              </w:rPr>
              <w:t>2.1.1.3. Energy and Waves</w:t>
            </w:r>
          </w:p>
        </w:tc>
        <w:tc>
          <w:tcPr>
            <w:tcW w:w="1780" w:type="dxa"/>
            <w:shd w:val="clear" w:color="auto" w:fill="FFFFFF" w:themeFill="background1"/>
          </w:tcPr>
          <w:p w14:paraId="72A3D3EC" w14:textId="77777777" w:rsidR="00855499" w:rsidRPr="00855499" w:rsidRDefault="00855499" w:rsidP="00855499">
            <w:pPr>
              <w:keepNext/>
              <w:outlineLvl w:val="5"/>
              <w:rPr>
                <w:rFonts w:cs="Times New Roman"/>
                <w:b/>
                <w:bCs w:val="0"/>
              </w:rPr>
            </w:pPr>
          </w:p>
        </w:tc>
        <w:tc>
          <w:tcPr>
            <w:tcW w:w="1958" w:type="dxa"/>
            <w:shd w:val="clear" w:color="auto" w:fill="FFFFFF" w:themeFill="background1"/>
          </w:tcPr>
          <w:p w14:paraId="0D0B940D" w14:textId="77777777" w:rsidR="00855499" w:rsidRPr="00855499" w:rsidRDefault="00855499" w:rsidP="00855499">
            <w:pPr>
              <w:rPr>
                <w:rFonts w:cs="Times New Roman"/>
                <w:b/>
                <w:bCs w:val="0"/>
              </w:rPr>
            </w:pPr>
          </w:p>
        </w:tc>
      </w:tr>
      <w:tr w:rsidR="00855499" w:rsidRPr="00855499" w14:paraId="03CD7283" w14:textId="77777777" w:rsidTr="2EAF5874">
        <w:trPr>
          <w:trHeight w:val="2055"/>
          <w:jc w:val="center"/>
        </w:trPr>
        <w:tc>
          <w:tcPr>
            <w:tcW w:w="6465" w:type="dxa"/>
          </w:tcPr>
          <w:p w14:paraId="33EDCA5E" w14:textId="783ACD60" w:rsidR="00855499" w:rsidRPr="00855499" w:rsidRDefault="01104867" w:rsidP="2EAF5874">
            <w:pPr>
              <w:rPr>
                <w:rFonts w:eastAsia="Palatino Linotype" w:cs="Palatino Linotype"/>
                <w:bCs w:val="0"/>
              </w:rPr>
            </w:pPr>
            <w:r w:rsidRPr="2EAF5874">
              <w:rPr>
                <w:rFonts w:eastAsia="Palatino Linotype" w:cs="Palatino Linotype"/>
                <w:bCs w:val="0"/>
              </w:rPr>
              <w:t xml:space="preserve">2.1.2. Life Science </w:t>
            </w:r>
          </w:p>
          <w:p w14:paraId="4C804571" w14:textId="66E8D7AB" w:rsidR="00855499" w:rsidRPr="00855499" w:rsidRDefault="01104867" w:rsidP="2EAF5874">
            <w:pPr>
              <w:pStyle w:val="ListParagraph"/>
              <w:numPr>
                <w:ilvl w:val="0"/>
                <w:numId w:val="2"/>
              </w:numPr>
              <w:rPr>
                <w:rFonts w:ascii="Palatino Linotype" w:eastAsia="Palatino Linotype" w:hAnsi="Palatino Linotype" w:cs="Palatino Linotype"/>
                <w:b/>
              </w:rPr>
            </w:pPr>
            <w:r w:rsidRPr="2EAF5874">
              <w:rPr>
                <w:rFonts w:ascii="Palatino Linotype" w:eastAsia="Palatino Linotype" w:hAnsi="Palatino Linotype" w:cs="Palatino Linotype"/>
                <w:bCs w:val="0"/>
              </w:rPr>
              <w:t xml:space="preserve">2.1.2.1. From Molecules to Organisms: Structures and Processes </w:t>
            </w:r>
          </w:p>
          <w:p w14:paraId="527CE1AF" w14:textId="3B2D42E9" w:rsidR="00855499" w:rsidRPr="00855499" w:rsidRDefault="01104867" w:rsidP="2EAF5874">
            <w:pPr>
              <w:pStyle w:val="ListParagraph"/>
              <w:numPr>
                <w:ilvl w:val="0"/>
                <w:numId w:val="2"/>
              </w:numPr>
              <w:rPr>
                <w:rFonts w:ascii="Palatino Linotype" w:eastAsia="Palatino Linotype" w:hAnsi="Palatino Linotype" w:cs="Palatino Linotype"/>
                <w:bCs w:val="0"/>
              </w:rPr>
            </w:pPr>
            <w:r w:rsidRPr="2EAF5874">
              <w:rPr>
                <w:rFonts w:ascii="Palatino Linotype" w:eastAsia="Palatino Linotype" w:hAnsi="Palatino Linotype" w:cs="Palatino Linotype"/>
                <w:bCs w:val="0"/>
              </w:rPr>
              <w:t>2.1.2.2. Ecosystems: Interactions, Energy, and Dynamics</w:t>
            </w:r>
          </w:p>
          <w:p w14:paraId="54D02682" w14:textId="1D139D35" w:rsidR="00855499" w:rsidRPr="00855499" w:rsidRDefault="01104867" w:rsidP="2EAF5874">
            <w:pPr>
              <w:pStyle w:val="ListParagraph"/>
              <w:numPr>
                <w:ilvl w:val="0"/>
                <w:numId w:val="2"/>
              </w:numPr>
              <w:rPr>
                <w:bCs w:val="0"/>
              </w:rPr>
            </w:pPr>
            <w:r w:rsidRPr="2EAF5874">
              <w:rPr>
                <w:rFonts w:ascii="Palatino Linotype" w:eastAsia="Palatino Linotype" w:hAnsi="Palatino Linotype" w:cs="Palatino Linotype"/>
                <w:bCs w:val="0"/>
              </w:rPr>
              <w:t xml:space="preserve">2.1.2.3. Heredity: Inheritance and Variation of Traits </w:t>
            </w:r>
          </w:p>
          <w:p w14:paraId="300037FB" w14:textId="48128DF2" w:rsidR="00855499" w:rsidRPr="00855499" w:rsidRDefault="01104867" w:rsidP="2EAF5874">
            <w:pPr>
              <w:pStyle w:val="ListParagraph"/>
              <w:numPr>
                <w:ilvl w:val="0"/>
                <w:numId w:val="2"/>
              </w:numPr>
              <w:rPr>
                <w:rFonts w:ascii="Palatino Linotype" w:eastAsia="Palatino Linotype" w:hAnsi="Palatino Linotype" w:cs="Palatino Linotype"/>
                <w:bCs w:val="0"/>
              </w:rPr>
            </w:pPr>
            <w:r w:rsidRPr="2EAF5874">
              <w:rPr>
                <w:rFonts w:ascii="Palatino Linotype" w:eastAsia="Palatino Linotype" w:hAnsi="Palatino Linotype" w:cs="Palatino Linotype"/>
                <w:bCs w:val="0"/>
              </w:rPr>
              <w:t>2.1.2.4. Biological Evolution: Unity and Diversity</w:t>
            </w:r>
          </w:p>
        </w:tc>
        <w:tc>
          <w:tcPr>
            <w:tcW w:w="1780" w:type="dxa"/>
          </w:tcPr>
          <w:p w14:paraId="44EAFD9C" w14:textId="77777777" w:rsidR="00855499" w:rsidRPr="00855499" w:rsidRDefault="00855499" w:rsidP="00855499">
            <w:pPr>
              <w:keepNext/>
              <w:outlineLvl w:val="5"/>
              <w:rPr>
                <w:rFonts w:cs="Times New Roman"/>
                <w:b/>
                <w:bCs w:val="0"/>
              </w:rPr>
            </w:pPr>
          </w:p>
        </w:tc>
        <w:tc>
          <w:tcPr>
            <w:tcW w:w="1958" w:type="dxa"/>
          </w:tcPr>
          <w:p w14:paraId="4B94D5A5" w14:textId="77777777" w:rsidR="00855499" w:rsidRPr="00855499" w:rsidRDefault="00855499" w:rsidP="00855499">
            <w:pPr>
              <w:rPr>
                <w:rFonts w:cs="Times New Roman"/>
                <w:b/>
                <w:bCs w:val="0"/>
              </w:rPr>
            </w:pPr>
          </w:p>
        </w:tc>
      </w:tr>
      <w:tr w:rsidR="00855499" w:rsidRPr="00855499" w14:paraId="359C7917" w14:textId="77777777" w:rsidTr="2EAF5874">
        <w:trPr>
          <w:trHeight w:val="300"/>
          <w:jc w:val="center"/>
        </w:trPr>
        <w:tc>
          <w:tcPr>
            <w:tcW w:w="6465" w:type="dxa"/>
          </w:tcPr>
          <w:p w14:paraId="14BC5F0A" w14:textId="09F7369C" w:rsidR="00855499" w:rsidRPr="00855499" w:rsidRDefault="5CE7A647" w:rsidP="2EAF5874">
            <w:pPr>
              <w:rPr>
                <w:rFonts w:eastAsia="Palatino Linotype" w:cs="Palatino Linotype"/>
              </w:rPr>
            </w:pPr>
            <w:r w:rsidRPr="2EAF5874">
              <w:rPr>
                <w:rFonts w:eastAsia="Palatino Linotype" w:cs="Palatino Linotype"/>
              </w:rPr>
              <w:lastRenderedPageBreak/>
              <w:t xml:space="preserve">2.1.3. Earth &amp; Space Sciences </w:t>
            </w:r>
          </w:p>
          <w:p w14:paraId="3F7D3D54" w14:textId="74D65B5C" w:rsidR="00855499" w:rsidRPr="00855499" w:rsidRDefault="5CE7A647" w:rsidP="2EAF5874">
            <w:pPr>
              <w:pStyle w:val="ListParagraph"/>
              <w:numPr>
                <w:ilvl w:val="0"/>
                <w:numId w:val="1"/>
              </w:numPr>
              <w:rPr>
                <w:rFonts w:ascii="Palatino Linotype" w:eastAsia="Palatino Linotype" w:hAnsi="Palatino Linotype" w:cs="Palatino Linotype"/>
              </w:rPr>
            </w:pPr>
            <w:r w:rsidRPr="2EAF5874">
              <w:rPr>
                <w:rFonts w:ascii="Palatino Linotype" w:eastAsia="Palatino Linotype" w:hAnsi="Palatino Linotype" w:cs="Palatino Linotype"/>
              </w:rPr>
              <w:t xml:space="preserve">2.1.3.1. Earth’s Place in the Universe </w:t>
            </w:r>
          </w:p>
          <w:p w14:paraId="411FE920" w14:textId="28B07108" w:rsidR="00855499" w:rsidRPr="00855499" w:rsidRDefault="5CE7A647" w:rsidP="2EAF5874">
            <w:pPr>
              <w:pStyle w:val="ListParagraph"/>
              <w:numPr>
                <w:ilvl w:val="0"/>
                <w:numId w:val="1"/>
              </w:numPr>
              <w:rPr>
                <w:rFonts w:ascii="Palatino Linotype" w:eastAsia="Palatino Linotype" w:hAnsi="Palatino Linotype" w:cs="Palatino Linotype"/>
              </w:rPr>
            </w:pPr>
            <w:r w:rsidRPr="2EAF5874">
              <w:rPr>
                <w:rFonts w:ascii="Palatino Linotype" w:eastAsia="Palatino Linotype" w:hAnsi="Palatino Linotype" w:cs="Palatino Linotype"/>
              </w:rPr>
              <w:t xml:space="preserve">2.1.3.2. Earth’s Systems </w:t>
            </w:r>
          </w:p>
          <w:p w14:paraId="45FB0818" w14:textId="6A6344F9" w:rsidR="00855499" w:rsidRPr="00855499" w:rsidRDefault="5CE7A647" w:rsidP="2EAF5874">
            <w:pPr>
              <w:pStyle w:val="ListParagraph"/>
              <w:numPr>
                <w:ilvl w:val="0"/>
                <w:numId w:val="1"/>
              </w:numPr>
              <w:rPr>
                <w:rFonts w:ascii="Palatino Linotype" w:eastAsia="Palatino Linotype" w:hAnsi="Palatino Linotype" w:cs="Palatino Linotype"/>
              </w:rPr>
            </w:pPr>
            <w:r w:rsidRPr="2EAF5874">
              <w:rPr>
                <w:rFonts w:ascii="Palatino Linotype" w:eastAsia="Palatino Linotype" w:hAnsi="Palatino Linotype" w:cs="Palatino Linotype"/>
              </w:rPr>
              <w:t>2.1.3.3. Earth and Human Activity</w:t>
            </w:r>
          </w:p>
        </w:tc>
        <w:tc>
          <w:tcPr>
            <w:tcW w:w="1780" w:type="dxa"/>
          </w:tcPr>
          <w:p w14:paraId="049F31CB" w14:textId="77777777" w:rsidR="00855499" w:rsidRPr="00855499" w:rsidRDefault="00855499" w:rsidP="00855499">
            <w:pPr>
              <w:keepNext/>
              <w:outlineLvl w:val="5"/>
              <w:rPr>
                <w:rFonts w:cs="Times New Roman"/>
                <w:b/>
                <w:bCs w:val="0"/>
              </w:rPr>
            </w:pPr>
          </w:p>
        </w:tc>
        <w:tc>
          <w:tcPr>
            <w:tcW w:w="1958" w:type="dxa"/>
          </w:tcPr>
          <w:p w14:paraId="53128261" w14:textId="77777777" w:rsidR="00855499" w:rsidRPr="00855499" w:rsidRDefault="00855499" w:rsidP="00855499">
            <w:pPr>
              <w:rPr>
                <w:rFonts w:cs="Times New Roman"/>
                <w:b/>
                <w:bCs w:val="0"/>
              </w:rPr>
            </w:pPr>
          </w:p>
        </w:tc>
      </w:tr>
      <w:tr w:rsidR="00855499" w:rsidRPr="00855499" w14:paraId="4E445E75" w14:textId="77777777" w:rsidTr="2EAF5874">
        <w:trPr>
          <w:trHeight w:val="990"/>
          <w:jc w:val="center"/>
        </w:trPr>
        <w:tc>
          <w:tcPr>
            <w:tcW w:w="6465" w:type="dxa"/>
            <w:tcBorders>
              <w:bottom w:val="single" w:sz="4" w:space="0" w:color="auto"/>
            </w:tcBorders>
          </w:tcPr>
          <w:p w14:paraId="4B99056E" w14:textId="53DB9458" w:rsidR="00855499" w:rsidRPr="00855499" w:rsidRDefault="4EE9A9EA" w:rsidP="2EAF5874">
            <w:pPr>
              <w:rPr>
                <w:rFonts w:eastAsia="Palatino Linotype" w:cs="Palatino Linotype"/>
              </w:rPr>
            </w:pPr>
            <w:r w:rsidRPr="2EAF5874">
              <w:rPr>
                <w:rFonts w:eastAsia="Palatino Linotype" w:cs="Palatino Linotype"/>
              </w:rPr>
              <w:t>2.1.4. Engineering Design Process (N.B., This does not refer to engineering content, but an understanding of how to integrate engineering design processes across science disciplines.)</w:t>
            </w:r>
          </w:p>
        </w:tc>
        <w:tc>
          <w:tcPr>
            <w:tcW w:w="1780" w:type="dxa"/>
            <w:tcBorders>
              <w:bottom w:val="single" w:sz="4" w:space="0" w:color="auto"/>
            </w:tcBorders>
          </w:tcPr>
          <w:p w14:paraId="1299C43A" w14:textId="77777777" w:rsidR="00855499" w:rsidRPr="00855499" w:rsidRDefault="00855499" w:rsidP="00855499">
            <w:pPr>
              <w:keepNext/>
              <w:outlineLvl w:val="5"/>
              <w:rPr>
                <w:rFonts w:cs="Times New Roman"/>
                <w:b/>
                <w:bCs w:val="0"/>
              </w:rPr>
            </w:pPr>
          </w:p>
        </w:tc>
        <w:tc>
          <w:tcPr>
            <w:tcW w:w="1958" w:type="dxa"/>
            <w:tcBorders>
              <w:bottom w:val="single" w:sz="4" w:space="0" w:color="auto"/>
            </w:tcBorders>
          </w:tcPr>
          <w:p w14:paraId="4DDBEF00" w14:textId="77777777" w:rsidR="00855499" w:rsidRPr="00855499" w:rsidRDefault="00855499" w:rsidP="00855499">
            <w:pPr>
              <w:rPr>
                <w:rFonts w:cs="Times New Roman"/>
                <w:b/>
                <w:bCs w:val="0"/>
              </w:rPr>
            </w:pPr>
          </w:p>
        </w:tc>
      </w:tr>
      <w:tr w:rsidR="00855499" w:rsidRPr="00855499" w14:paraId="59E56EBE" w14:textId="77777777" w:rsidTr="2EAF5874">
        <w:trPr>
          <w:trHeight w:val="2400"/>
          <w:jc w:val="center"/>
        </w:trPr>
        <w:tc>
          <w:tcPr>
            <w:tcW w:w="6465" w:type="dxa"/>
            <w:tcBorders>
              <w:bottom w:val="single" w:sz="4" w:space="0" w:color="auto"/>
            </w:tcBorders>
          </w:tcPr>
          <w:p w14:paraId="7B2FFFE0" w14:textId="4C5BD936" w:rsidR="00855499" w:rsidRPr="00855499" w:rsidRDefault="4EE9A9EA" w:rsidP="2EAF5874">
            <w:pPr>
              <w:rPr>
                <w:rFonts w:eastAsia="Palatino Linotype" w:cs="Palatino Linotype"/>
              </w:rPr>
            </w:pPr>
            <w:r w:rsidRPr="2EAF5874">
              <w:rPr>
                <w:rFonts w:eastAsia="Palatino Linotype" w:cs="Palatino Linotype"/>
              </w:rPr>
              <w:t>3.1. Pedagogical Content Knowledge and Instructional Practice</w:t>
            </w:r>
          </w:p>
          <w:p w14:paraId="0FB78278" w14:textId="7357A493" w:rsidR="00855499" w:rsidRPr="00855499" w:rsidRDefault="4EE9A9EA" w:rsidP="2EAF5874">
            <w:pPr>
              <w:rPr>
                <w:rFonts w:eastAsia="Palatino Linotype" w:cs="Palatino Linotype"/>
              </w:rPr>
            </w:pPr>
            <w:r w:rsidRPr="2EAF5874">
              <w:rPr>
                <w:rFonts w:eastAsia="Palatino Linotype" w:cs="Palatino Linotype"/>
              </w:rPr>
              <w:t>Effective science educators understand how students learn and develop scientific knowledge. They strive to develop students’ deep understanding of core scientific principles rather than a cursory understanding of discrete facts. Educators integrate Disciplinary Core Ideas, Science and Engineering Practices, and Crosscutting Concepts to develop this knowledge for all students.</w:t>
            </w:r>
          </w:p>
        </w:tc>
        <w:tc>
          <w:tcPr>
            <w:tcW w:w="1780" w:type="dxa"/>
            <w:tcBorders>
              <w:bottom w:val="single" w:sz="4" w:space="0" w:color="auto"/>
            </w:tcBorders>
          </w:tcPr>
          <w:p w14:paraId="1FC39945" w14:textId="77777777" w:rsidR="00855499" w:rsidRPr="00855499" w:rsidRDefault="00855499" w:rsidP="00855499">
            <w:pPr>
              <w:keepNext/>
              <w:outlineLvl w:val="5"/>
              <w:rPr>
                <w:rFonts w:cs="Times New Roman"/>
                <w:b/>
                <w:bCs w:val="0"/>
              </w:rPr>
            </w:pPr>
          </w:p>
        </w:tc>
        <w:tc>
          <w:tcPr>
            <w:tcW w:w="1958" w:type="dxa"/>
            <w:tcBorders>
              <w:bottom w:val="single" w:sz="4" w:space="0" w:color="auto"/>
            </w:tcBorders>
          </w:tcPr>
          <w:p w14:paraId="0562CB0E" w14:textId="77777777" w:rsidR="00855499" w:rsidRPr="00855499" w:rsidRDefault="00855499" w:rsidP="00855499">
            <w:pPr>
              <w:rPr>
                <w:rFonts w:cs="Times New Roman"/>
                <w:b/>
                <w:bCs w:val="0"/>
              </w:rPr>
            </w:pPr>
          </w:p>
        </w:tc>
      </w:tr>
      <w:tr w:rsidR="00855499" w:rsidRPr="00855499" w14:paraId="7A20B1BC" w14:textId="77777777" w:rsidTr="2EAF5874">
        <w:trPr>
          <w:jc w:val="center"/>
        </w:trPr>
        <w:tc>
          <w:tcPr>
            <w:tcW w:w="6465" w:type="dxa"/>
            <w:tcBorders>
              <w:bottom w:val="single" w:sz="4" w:space="0" w:color="auto"/>
            </w:tcBorders>
          </w:tcPr>
          <w:p w14:paraId="6D98A12B" w14:textId="3787AF69" w:rsidR="00855499" w:rsidRPr="00855499" w:rsidRDefault="4C33744D" w:rsidP="2EAF5874">
            <w:pPr>
              <w:rPr>
                <w:rFonts w:eastAsia="Palatino Linotype" w:cs="Palatino Linotype"/>
              </w:rPr>
            </w:pPr>
            <w:r w:rsidRPr="2EAF5874">
              <w:rPr>
                <w:rFonts w:eastAsia="Palatino Linotype" w:cs="Palatino Linotype"/>
              </w:rPr>
              <w:t>3.1.1. Educators provide opportunities for students to engage in scientific thinking that involves collecting and interpreting data to evaluate their understandings and develop scientific explanations. Applications of science-specific technology are included in the lessons where appropriate.</w:t>
            </w:r>
          </w:p>
        </w:tc>
        <w:tc>
          <w:tcPr>
            <w:tcW w:w="1780" w:type="dxa"/>
            <w:tcBorders>
              <w:bottom w:val="single" w:sz="4" w:space="0" w:color="auto"/>
            </w:tcBorders>
          </w:tcPr>
          <w:p w14:paraId="2946DB82" w14:textId="77777777" w:rsidR="00855499" w:rsidRPr="00855499" w:rsidRDefault="00855499" w:rsidP="00855499">
            <w:pPr>
              <w:keepNext/>
              <w:outlineLvl w:val="5"/>
              <w:rPr>
                <w:rFonts w:cs="Times New Roman"/>
                <w:b/>
                <w:bCs w:val="0"/>
              </w:rPr>
            </w:pPr>
          </w:p>
        </w:tc>
        <w:tc>
          <w:tcPr>
            <w:tcW w:w="1958" w:type="dxa"/>
            <w:tcBorders>
              <w:bottom w:val="single" w:sz="4" w:space="0" w:color="auto"/>
            </w:tcBorders>
          </w:tcPr>
          <w:p w14:paraId="5997CC1D" w14:textId="77777777" w:rsidR="00855499" w:rsidRPr="00855499" w:rsidRDefault="00855499" w:rsidP="00855499">
            <w:pPr>
              <w:rPr>
                <w:rFonts w:cs="Times New Roman"/>
                <w:b/>
                <w:bCs w:val="0"/>
              </w:rPr>
            </w:pPr>
          </w:p>
        </w:tc>
      </w:tr>
      <w:tr w:rsidR="00855499" w:rsidRPr="00855499" w14:paraId="6B1175A6" w14:textId="77777777" w:rsidTr="2EAF5874">
        <w:trPr>
          <w:jc w:val="center"/>
        </w:trPr>
        <w:tc>
          <w:tcPr>
            <w:tcW w:w="6465" w:type="dxa"/>
            <w:tcBorders>
              <w:bottom w:val="single" w:sz="4" w:space="0" w:color="auto"/>
            </w:tcBorders>
          </w:tcPr>
          <w:p w14:paraId="78616385" w14:textId="01C6097A" w:rsidR="00855499" w:rsidRPr="00201EB1" w:rsidRDefault="4C33744D" w:rsidP="2EAF5874">
            <w:pPr>
              <w:ind w:firstLine="15"/>
              <w:rPr>
                <w:rFonts w:eastAsia="Palatino Linotype" w:cs="Palatino Linotype"/>
              </w:rPr>
            </w:pPr>
            <w:r w:rsidRPr="2EAF5874">
              <w:rPr>
                <w:rFonts w:eastAsia="Palatino Linotype" w:cs="Palatino Linotype"/>
              </w:rPr>
              <w:t>3.1.2. Educators create opportunities for students to collaboratively design and implement scientific investigations, present and discuss the results of their investigations, construct explanations, and solve engineering problems.</w:t>
            </w:r>
          </w:p>
        </w:tc>
        <w:tc>
          <w:tcPr>
            <w:tcW w:w="1780" w:type="dxa"/>
            <w:tcBorders>
              <w:bottom w:val="single" w:sz="4" w:space="0" w:color="auto"/>
            </w:tcBorders>
          </w:tcPr>
          <w:p w14:paraId="3FE9F23F" w14:textId="77777777" w:rsidR="00855499" w:rsidRPr="00855499" w:rsidRDefault="00855499" w:rsidP="00855499">
            <w:pPr>
              <w:keepNext/>
              <w:outlineLvl w:val="5"/>
              <w:rPr>
                <w:rFonts w:cs="Times New Roman"/>
                <w:b/>
                <w:bCs w:val="0"/>
              </w:rPr>
            </w:pPr>
          </w:p>
        </w:tc>
        <w:tc>
          <w:tcPr>
            <w:tcW w:w="1958" w:type="dxa"/>
            <w:tcBorders>
              <w:bottom w:val="single" w:sz="4" w:space="0" w:color="auto"/>
            </w:tcBorders>
          </w:tcPr>
          <w:p w14:paraId="1F72F646" w14:textId="77777777" w:rsidR="00855499" w:rsidRPr="00855499" w:rsidRDefault="00855499" w:rsidP="00855499">
            <w:pPr>
              <w:rPr>
                <w:rFonts w:cs="Times New Roman"/>
                <w:b/>
                <w:bCs w:val="0"/>
              </w:rPr>
            </w:pPr>
          </w:p>
        </w:tc>
      </w:tr>
      <w:tr w:rsidR="00855499" w:rsidRPr="00855499" w14:paraId="3CD9FCD6" w14:textId="77777777" w:rsidTr="2EAF5874">
        <w:trPr>
          <w:jc w:val="center"/>
        </w:trPr>
        <w:tc>
          <w:tcPr>
            <w:tcW w:w="6465" w:type="dxa"/>
            <w:tcBorders>
              <w:bottom w:val="single" w:sz="4" w:space="0" w:color="auto"/>
            </w:tcBorders>
          </w:tcPr>
          <w:p w14:paraId="6BB9E253" w14:textId="081B690E" w:rsidR="00855499" w:rsidRPr="00855499" w:rsidRDefault="4C33744D" w:rsidP="2EAF5874">
            <w:pPr>
              <w:rPr>
                <w:rFonts w:eastAsia="Palatino Linotype" w:cs="Palatino Linotype"/>
              </w:rPr>
            </w:pPr>
            <w:r w:rsidRPr="2EAF5874">
              <w:rPr>
                <w:rFonts w:eastAsia="Palatino Linotype" w:cs="Palatino Linotype"/>
              </w:rPr>
              <w:t>3.1.3. Educators design instruction and assessment strategies that elicit misconceptions and cause students to confront and question their emergent scientific ideas. Educators leverage student misconceptions to personalize future instruction.</w:t>
            </w:r>
          </w:p>
        </w:tc>
        <w:tc>
          <w:tcPr>
            <w:tcW w:w="1780" w:type="dxa"/>
            <w:tcBorders>
              <w:bottom w:val="single" w:sz="4" w:space="0" w:color="auto"/>
            </w:tcBorders>
          </w:tcPr>
          <w:p w14:paraId="23DE523C" w14:textId="77777777" w:rsidR="00855499" w:rsidRPr="00855499" w:rsidRDefault="00855499" w:rsidP="00855499">
            <w:pPr>
              <w:keepNext/>
              <w:outlineLvl w:val="5"/>
              <w:rPr>
                <w:rFonts w:cs="Times New Roman"/>
                <w:b/>
                <w:bCs w:val="0"/>
              </w:rPr>
            </w:pPr>
          </w:p>
        </w:tc>
        <w:tc>
          <w:tcPr>
            <w:tcW w:w="1958" w:type="dxa"/>
            <w:tcBorders>
              <w:bottom w:val="single" w:sz="4" w:space="0" w:color="auto"/>
            </w:tcBorders>
          </w:tcPr>
          <w:p w14:paraId="52E56223" w14:textId="77777777" w:rsidR="00855499" w:rsidRPr="00855499" w:rsidRDefault="00855499" w:rsidP="00855499">
            <w:pPr>
              <w:rPr>
                <w:rFonts w:cs="Times New Roman"/>
                <w:b/>
                <w:bCs w:val="0"/>
              </w:rPr>
            </w:pPr>
          </w:p>
        </w:tc>
      </w:tr>
      <w:tr w:rsidR="2EAF5874" w14:paraId="7605ABCB" w14:textId="77777777" w:rsidTr="2EAF5874">
        <w:trPr>
          <w:jc w:val="center"/>
        </w:trPr>
        <w:tc>
          <w:tcPr>
            <w:tcW w:w="6465" w:type="dxa"/>
            <w:tcBorders>
              <w:bottom w:val="single" w:sz="4" w:space="0" w:color="auto"/>
            </w:tcBorders>
          </w:tcPr>
          <w:p w14:paraId="51C9149F" w14:textId="765446EB" w:rsidR="4C33744D" w:rsidRDefault="4C33744D" w:rsidP="2EAF5874">
            <w:pPr>
              <w:rPr>
                <w:rFonts w:eastAsia="Palatino Linotype" w:cs="Palatino Linotype"/>
              </w:rPr>
            </w:pPr>
            <w:r w:rsidRPr="2EAF5874">
              <w:rPr>
                <w:rFonts w:eastAsia="Palatino Linotype" w:cs="Palatino Linotype"/>
              </w:rPr>
              <w:t>3.2. Three-dimensional Learning</w:t>
            </w:r>
          </w:p>
        </w:tc>
        <w:tc>
          <w:tcPr>
            <w:tcW w:w="1780" w:type="dxa"/>
            <w:tcBorders>
              <w:bottom w:val="single" w:sz="4" w:space="0" w:color="auto"/>
            </w:tcBorders>
          </w:tcPr>
          <w:p w14:paraId="68022523" w14:textId="4A6442F9" w:rsidR="2EAF5874" w:rsidRDefault="2EAF5874" w:rsidP="2EAF5874">
            <w:pPr>
              <w:rPr>
                <w:b/>
              </w:rPr>
            </w:pPr>
          </w:p>
        </w:tc>
        <w:tc>
          <w:tcPr>
            <w:tcW w:w="1958" w:type="dxa"/>
            <w:tcBorders>
              <w:bottom w:val="single" w:sz="4" w:space="0" w:color="auto"/>
            </w:tcBorders>
          </w:tcPr>
          <w:p w14:paraId="0C4F11C3" w14:textId="07610059" w:rsidR="2EAF5874" w:rsidRDefault="2EAF5874" w:rsidP="2EAF5874">
            <w:pPr>
              <w:rPr>
                <w:b/>
              </w:rPr>
            </w:pPr>
          </w:p>
        </w:tc>
      </w:tr>
      <w:tr w:rsidR="2EAF5874" w14:paraId="686E5AAD" w14:textId="77777777" w:rsidTr="2EAF5874">
        <w:trPr>
          <w:jc w:val="center"/>
        </w:trPr>
        <w:tc>
          <w:tcPr>
            <w:tcW w:w="6465" w:type="dxa"/>
            <w:tcBorders>
              <w:bottom w:val="single" w:sz="4" w:space="0" w:color="auto"/>
            </w:tcBorders>
          </w:tcPr>
          <w:p w14:paraId="4F860C08" w14:textId="29EE7758" w:rsidR="4C33744D" w:rsidRDefault="4C33744D" w:rsidP="2EAF5874">
            <w:pPr>
              <w:rPr>
                <w:rFonts w:eastAsia="Palatino Linotype" w:cs="Palatino Linotype"/>
              </w:rPr>
            </w:pPr>
            <w:r w:rsidRPr="2EAF5874">
              <w:rPr>
                <w:rFonts w:eastAsia="Palatino Linotype" w:cs="Palatino Linotype"/>
              </w:rPr>
              <w:t>3.2.1. Instruction addresses Disciplinary Core Ideas, Science and Engineering Practices, and Crosscutting Concepts concurrently around an identified scientific idea or engineering problem.</w:t>
            </w:r>
          </w:p>
        </w:tc>
        <w:tc>
          <w:tcPr>
            <w:tcW w:w="1780" w:type="dxa"/>
            <w:tcBorders>
              <w:bottom w:val="single" w:sz="4" w:space="0" w:color="auto"/>
            </w:tcBorders>
          </w:tcPr>
          <w:p w14:paraId="4137FB92" w14:textId="709FEEF1" w:rsidR="2EAF5874" w:rsidRDefault="2EAF5874" w:rsidP="2EAF5874">
            <w:pPr>
              <w:rPr>
                <w:b/>
              </w:rPr>
            </w:pPr>
          </w:p>
        </w:tc>
        <w:tc>
          <w:tcPr>
            <w:tcW w:w="1958" w:type="dxa"/>
            <w:tcBorders>
              <w:bottom w:val="single" w:sz="4" w:space="0" w:color="auto"/>
            </w:tcBorders>
          </w:tcPr>
          <w:p w14:paraId="0984564F" w14:textId="7CC39B56" w:rsidR="2EAF5874" w:rsidRDefault="2EAF5874" w:rsidP="2EAF5874">
            <w:pPr>
              <w:rPr>
                <w:b/>
              </w:rPr>
            </w:pPr>
          </w:p>
        </w:tc>
      </w:tr>
      <w:tr w:rsidR="2EAF5874" w14:paraId="7BECDFC3" w14:textId="77777777" w:rsidTr="2EAF5874">
        <w:trPr>
          <w:jc w:val="center"/>
        </w:trPr>
        <w:tc>
          <w:tcPr>
            <w:tcW w:w="6465" w:type="dxa"/>
            <w:tcBorders>
              <w:bottom w:val="single" w:sz="4" w:space="0" w:color="auto"/>
            </w:tcBorders>
          </w:tcPr>
          <w:p w14:paraId="062689F4" w14:textId="0730AD0F" w:rsidR="4C33744D" w:rsidRDefault="4C33744D" w:rsidP="2EAF5874">
            <w:pPr>
              <w:rPr>
                <w:rFonts w:eastAsia="Palatino Linotype" w:cs="Palatino Linotype"/>
              </w:rPr>
            </w:pPr>
            <w:r w:rsidRPr="2EAF5874">
              <w:rPr>
                <w:rFonts w:eastAsia="Palatino Linotype" w:cs="Palatino Linotype"/>
              </w:rPr>
              <w:t>3.2.2. Educators design learning opportunities where students explore a Disciplinary Core Idea through Science and Engineering Principles and make connections to the Crosscutting Concepts.</w:t>
            </w:r>
          </w:p>
        </w:tc>
        <w:tc>
          <w:tcPr>
            <w:tcW w:w="1780" w:type="dxa"/>
            <w:tcBorders>
              <w:bottom w:val="single" w:sz="4" w:space="0" w:color="auto"/>
            </w:tcBorders>
          </w:tcPr>
          <w:p w14:paraId="00EE705A" w14:textId="500E767B" w:rsidR="2EAF5874" w:rsidRDefault="2EAF5874" w:rsidP="2EAF5874">
            <w:pPr>
              <w:rPr>
                <w:b/>
              </w:rPr>
            </w:pPr>
          </w:p>
        </w:tc>
        <w:tc>
          <w:tcPr>
            <w:tcW w:w="1958" w:type="dxa"/>
            <w:tcBorders>
              <w:bottom w:val="single" w:sz="4" w:space="0" w:color="auto"/>
            </w:tcBorders>
          </w:tcPr>
          <w:p w14:paraId="782F04E5" w14:textId="74CB54AD" w:rsidR="2EAF5874" w:rsidRDefault="2EAF5874" w:rsidP="2EAF5874">
            <w:pPr>
              <w:rPr>
                <w:b/>
              </w:rPr>
            </w:pPr>
          </w:p>
        </w:tc>
      </w:tr>
      <w:tr w:rsidR="2EAF5874" w14:paraId="4566B14D" w14:textId="77777777" w:rsidTr="2EAF5874">
        <w:trPr>
          <w:jc w:val="center"/>
        </w:trPr>
        <w:tc>
          <w:tcPr>
            <w:tcW w:w="6465" w:type="dxa"/>
            <w:tcBorders>
              <w:bottom w:val="single" w:sz="4" w:space="0" w:color="auto"/>
            </w:tcBorders>
          </w:tcPr>
          <w:p w14:paraId="5E0429A5" w14:textId="331BD87A" w:rsidR="4C33744D" w:rsidRDefault="4C33744D" w:rsidP="2EAF5874">
            <w:pPr>
              <w:rPr>
                <w:rFonts w:eastAsia="Palatino Linotype" w:cs="Palatino Linotype"/>
              </w:rPr>
            </w:pPr>
            <w:r w:rsidRPr="2EAF5874">
              <w:rPr>
                <w:rFonts w:eastAsia="Palatino Linotype" w:cs="Palatino Linotype"/>
              </w:rPr>
              <w:t xml:space="preserve">3.3. Assessment </w:t>
            </w:r>
          </w:p>
          <w:p w14:paraId="03FB8E30" w14:textId="774B0616" w:rsidR="4C33744D" w:rsidRDefault="4C33744D" w:rsidP="2EAF5874">
            <w:pPr>
              <w:rPr>
                <w:rFonts w:eastAsia="Palatino Linotype" w:cs="Palatino Linotype"/>
              </w:rPr>
            </w:pPr>
            <w:r w:rsidRPr="2EAF5874">
              <w:rPr>
                <w:rFonts w:eastAsia="Palatino Linotype" w:cs="Palatino Linotype"/>
              </w:rPr>
              <w:t>Effective science educators:</w:t>
            </w:r>
          </w:p>
        </w:tc>
        <w:tc>
          <w:tcPr>
            <w:tcW w:w="1780" w:type="dxa"/>
            <w:tcBorders>
              <w:bottom w:val="single" w:sz="4" w:space="0" w:color="auto"/>
            </w:tcBorders>
          </w:tcPr>
          <w:p w14:paraId="6A9D5113" w14:textId="193E3AC3" w:rsidR="2EAF5874" w:rsidRDefault="2EAF5874" w:rsidP="2EAF5874">
            <w:pPr>
              <w:rPr>
                <w:b/>
              </w:rPr>
            </w:pPr>
          </w:p>
        </w:tc>
        <w:tc>
          <w:tcPr>
            <w:tcW w:w="1958" w:type="dxa"/>
            <w:tcBorders>
              <w:bottom w:val="single" w:sz="4" w:space="0" w:color="auto"/>
            </w:tcBorders>
          </w:tcPr>
          <w:p w14:paraId="20BB3C1B" w14:textId="454D8FA2" w:rsidR="2EAF5874" w:rsidRDefault="2EAF5874" w:rsidP="2EAF5874">
            <w:pPr>
              <w:rPr>
                <w:b/>
              </w:rPr>
            </w:pPr>
          </w:p>
        </w:tc>
      </w:tr>
      <w:tr w:rsidR="2EAF5874" w14:paraId="5F2C499F" w14:textId="77777777" w:rsidTr="2EAF5874">
        <w:trPr>
          <w:jc w:val="center"/>
        </w:trPr>
        <w:tc>
          <w:tcPr>
            <w:tcW w:w="6465" w:type="dxa"/>
            <w:tcBorders>
              <w:bottom w:val="single" w:sz="4" w:space="0" w:color="auto"/>
            </w:tcBorders>
          </w:tcPr>
          <w:p w14:paraId="0663A5F1" w14:textId="179426D6" w:rsidR="4C33744D" w:rsidRDefault="4C33744D" w:rsidP="2EAF5874">
            <w:pPr>
              <w:rPr>
                <w:rFonts w:eastAsia="Palatino Linotype" w:cs="Palatino Linotype"/>
              </w:rPr>
            </w:pPr>
            <w:r w:rsidRPr="2EAF5874">
              <w:rPr>
                <w:rFonts w:eastAsia="Palatino Linotype" w:cs="Palatino Linotype"/>
              </w:rPr>
              <w:lastRenderedPageBreak/>
              <w:t>3.3.1. Plan fair and equitable assessment strategies that integrate three-dimensional learning to analyze student learning and evaluate how the learning goals are met.</w:t>
            </w:r>
          </w:p>
        </w:tc>
        <w:tc>
          <w:tcPr>
            <w:tcW w:w="1780" w:type="dxa"/>
            <w:tcBorders>
              <w:bottom w:val="single" w:sz="4" w:space="0" w:color="auto"/>
            </w:tcBorders>
          </w:tcPr>
          <w:p w14:paraId="0B414172" w14:textId="297BF833" w:rsidR="2EAF5874" w:rsidRDefault="2EAF5874" w:rsidP="2EAF5874">
            <w:pPr>
              <w:rPr>
                <w:b/>
              </w:rPr>
            </w:pPr>
          </w:p>
        </w:tc>
        <w:tc>
          <w:tcPr>
            <w:tcW w:w="1958" w:type="dxa"/>
            <w:tcBorders>
              <w:bottom w:val="single" w:sz="4" w:space="0" w:color="auto"/>
            </w:tcBorders>
          </w:tcPr>
          <w:p w14:paraId="018338F1" w14:textId="79FEBDD0" w:rsidR="2EAF5874" w:rsidRDefault="2EAF5874" w:rsidP="2EAF5874">
            <w:pPr>
              <w:rPr>
                <w:b/>
              </w:rPr>
            </w:pPr>
          </w:p>
        </w:tc>
      </w:tr>
      <w:tr w:rsidR="00855499" w:rsidRPr="00855499" w14:paraId="23DB41AA" w14:textId="77777777" w:rsidTr="2EAF5874">
        <w:trPr>
          <w:jc w:val="center"/>
        </w:trPr>
        <w:tc>
          <w:tcPr>
            <w:tcW w:w="6465" w:type="dxa"/>
            <w:tcBorders>
              <w:bottom w:val="single" w:sz="4" w:space="0" w:color="auto"/>
            </w:tcBorders>
          </w:tcPr>
          <w:p w14:paraId="07459315" w14:textId="26664414" w:rsidR="00201EB1" w:rsidRPr="00855499" w:rsidRDefault="4C33744D" w:rsidP="2EAF5874">
            <w:pPr>
              <w:rPr>
                <w:rFonts w:eastAsia="Palatino Linotype" w:cs="Palatino Linotype"/>
              </w:rPr>
            </w:pPr>
            <w:r w:rsidRPr="2EAF5874">
              <w:rPr>
                <w:rFonts w:eastAsia="Palatino Linotype" w:cs="Palatino Linotype"/>
              </w:rPr>
              <w:t>3.3.2. Design formative, interim, and summative assessment strategies to continuously evaluate preconceptions and ideas that students hold and how these ideas evolve.</w:t>
            </w:r>
          </w:p>
        </w:tc>
        <w:tc>
          <w:tcPr>
            <w:tcW w:w="1780" w:type="dxa"/>
            <w:tcBorders>
              <w:bottom w:val="single" w:sz="4" w:space="0" w:color="auto"/>
            </w:tcBorders>
          </w:tcPr>
          <w:p w14:paraId="6537F28F" w14:textId="77777777" w:rsidR="00855499" w:rsidRPr="00855499" w:rsidRDefault="00855499" w:rsidP="00855499">
            <w:pPr>
              <w:keepNext/>
              <w:outlineLvl w:val="5"/>
              <w:rPr>
                <w:rFonts w:cs="Times New Roman"/>
                <w:b/>
                <w:bCs w:val="0"/>
              </w:rPr>
            </w:pPr>
          </w:p>
        </w:tc>
        <w:tc>
          <w:tcPr>
            <w:tcW w:w="1958" w:type="dxa"/>
            <w:tcBorders>
              <w:bottom w:val="single" w:sz="4" w:space="0" w:color="auto"/>
            </w:tcBorders>
          </w:tcPr>
          <w:p w14:paraId="6DFB9E20" w14:textId="77777777" w:rsidR="00855499" w:rsidRPr="00855499" w:rsidRDefault="00855499" w:rsidP="00855499">
            <w:pPr>
              <w:rPr>
                <w:rFonts w:cs="Times New Roman"/>
                <w:b/>
                <w:bCs w:val="0"/>
              </w:rPr>
            </w:pPr>
          </w:p>
        </w:tc>
      </w:tr>
      <w:tr w:rsidR="00855499" w:rsidRPr="00855499" w14:paraId="10F70DE7" w14:textId="77777777" w:rsidTr="2EAF5874">
        <w:trPr>
          <w:jc w:val="center"/>
        </w:trPr>
        <w:tc>
          <w:tcPr>
            <w:tcW w:w="6465" w:type="dxa"/>
            <w:tcBorders>
              <w:bottom w:val="single" w:sz="4" w:space="0" w:color="auto"/>
            </w:tcBorders>
          </w:tcPr>
          <w:p w14:paraId="144A5D23" w14:textId="3D4783D4" w:rsidR="00201EB1" w:rsidRPr="00855499" w:rsidRDefault="4C33744D" w:rsidP="2EAF5874">
            <w:pPr>
              <w:rPr>
                <w:rFonts w:eastAsia="Palatino Linotype" w:cs="Palatino Linotype"/>
              </w:rPr>
            </w:pPr>
            <w:r w:rsidRPr="2EAF5874">
              <w:rPr>
                <w:rFonts w:eastAsia="Palatino Linotype" w:cs="Palatino Linotype"/>
              </w:rPr>
              <w:t>3.3.3. Scaffold student learning to distinguish science from nonscience, understand the evolution and practice of science as a human endeavor, and critically analyze assertions made in the name of science.</w:t>
            </w:r>
          </w:p>
        </w:tc>
        <w:tc>
          <w:tcPr>
            <w:tcW w:w="1780" w:type="dxa"/>
            <w:tcBorders>
              <w:bottom w:val="single" w:sz="4" w:space="0" w:color="auto"/>
            </w:tcBorders>
          </w:tcPr>
          <w:p w14:paraId="738610EB" w14:textId="77777777" w:rsidR="00855499" w:rsidRPr="00855499" w:rsidRDefault="00855499" w:rsidP="00855499">
            <w:pPr>
              <w:keepNext/>
              <w:outlineLvl w:val="5"/>
              <w:rPr>
                <w:rFonts w:cs="Times New Roman"/>
                <w:b/>
                <w:bCs w:val="0"/>
              </w:rPr>
            </w:pPr>
          </w:p>
        </w:tc>
        <w:tc>
          <w:tcPr>
            <w:tcW w:w="1958" w:type="dxa"/>
            <w:tcBorders>
              <w:bottom w:val="single" w:sz="4" w:space="0" w:color="auto"/>
            </w:tcBorders>
          </w:tcPr>
          <w:p w14:paraId="637805D2" w14:textId="77777777" w:rsidR="00855499" w:rsidRPr="00855499" w:rsidRDefault="00855499" w:rsidP="00855499">
            <w:pPr>
              <w:rPr>
                <w:rFonts w:cs="Times New Roman"/>
                <w:b/>
                <w:bCs w:val="0"/>
              </w:rPr>
            </w:pPr>
          </w:p>
        </w:tc>
      </w:tr>
      <w:tr w:rsidR="00855499" w:rsidRPr="00855499" w14:paraId="241679AC" w14:textId="77777777" w:rsidTr="2EAF5874">
        <w:trPr>
          <w:jc w:val="center"/>
        </w:trPr>
        <w:tc>
          <w:tcPr>
            <w:tcW w:w="6465" w:type="dxa"/>
          </w:tcPr>
          <w:p w14:paraId="5AA019EA" w14:textId="48A63EFB" w:rsidR="00855499" w:rsidRPr="00855499" w:rsidRDefault="00855499" w:rsidP="2EAF5874">
            <w:pPr>
              <w:rPr>
                <w:rFonts w:cs="Times New Roman"/>
                <w:b/>
              </w:rPr>
            </w:pPr>
            <w:r w:rsidRPr="2EAF5874">
              <w:rPr>
                <w:rFonts w:cs="Times New Roman"/>
              </w:rPr>
              <w:t xml:space="preserve">A major in biology, chemistry, physics, or earth/environmental/atmospheric sciences, or the equivalent in undergraduate and/or graduate coursework. </w:t>
            </w:r>
            <w:r w:rsidRPr="2EAF5874">
              <w:rPr>
                <w:rFonts w:cs="Times New Roman"/>
                <w:b/>
              </w:rPr>
              <w:t>(The equivalent of a major is defined as at least 30 credits, at least nine (9) of which shall be advanced undergraduate courses or higher. Please attach the degree equivalency worksheet if needed)</w:t>
            </w:r>
            <w:r w:rsidR="22691AE5" w:rsidRPr="2EAF5874">
              <w:rPr>
                <w:rFonts w:cs="Times New Roman"/>
                <w:b/>
              </w:rPr>
              <w:t>.</w:t>
            </w:r>
          </w:p>
          <w:p w14:paraId="3F6E7E11" w14:textId="57FD0A68" w:rsidR="2EAF5874" w:rsidRDefault="2EAF5874" w:rsidP="2EAF5874">
            <w:pPr>
              <w:rPr>
                <w:rFonts w:eastAsia="Palatino Linotype" w:cs="Palatino Linotype"/>
              </w:rPr>
            </w:pPr>
          </w:p>
          <w:p w14:paraId="37A7F54D" w14:textId="0D4C9A44" w:rsidR="22691AE5" w:rsidRDefault="22691AE5" w:rsidP="2EAF5874">
            <w:r w:rsidRPr="2EAF5874">
              <w:rPr>
                <w:rFonts w:eastAsia="Palatino Linotype" w:cs="Palatino Linotype"/>
              </w:rPr>
              <w:t>For the full endorsement, a candidate must have at least one course that addresses each content knowledge area; a single class could potentially address multiple areas.</w:t>
            </w:r>
          </w:p>
          <w:p w14:paraId="3A0FF5F2" w14:textId="77777777" w:rsidR="00855499" w:rsidRPr="00855499" w:rsidRDefault="00855499" w:rsidP="00855499">
            <w:pPr>
              <w:rPr>
                <w:rFonts w:cs="Times New Roman"/>
                <w:bCs w:val="0"/>
              </w:rPr>
            </w:pPr>
          </w:p>
        </w:tc>
        <w:tc>
          <w:tcPr>
            <w:tcW w:w="1780" w:type="dxa"/>
          </w:tcPr>
          <w:p w14:paraId="5630AD66" w14:textId="77777777" w:rsidR="00855499" w:rsidRPr="00855499" w:rsidRDefault="00855499" w:rsidP="00855499">
            <w:pPr>
              <w:keepNext/>
              <w:outlineLvl w:val="5"/>
              <w:rPr>
                <w:rFonts w:cs="Times New Roman"/>
                <w:b/>
                <w:bCs w:val="0"/>
              </w:rPr>
            </w:pPr>
          </w:p>
        </w:tc>
        <w:tc>
          <w:tcPr>
            <w:tcW w:w="1958" w:type="dxa"/>
          </w:tcPr>
          <w:p w14:paraId="61829076" w14:textId="77777777" w:rsidR="00855499" w:rsidRPr="00855499" w:rsidRDefault="00855499" w:rsidP="00855499">
            <w:pPr>
              <w:rPr>
                <w:rFonts w:cs="Times New Roman"/>
                <w:b/>
                <w:bCs w:val="0"/>
              </w:rPr>
            </w:pPr>
          </w:p>
        </w:tc>
      </w:tr>
      <w:tr w:rsidR="00855499" w:rsidRPr="00855499" w14:paraId="747A2B48" w14:textId="77777777" w:rsidTr="2EAF5874">
        <w:trPr>
          <w:jc w:val="center"/>
        </w:trPr>
        <w:tc>
          <w:tcPr>
            <w:tcW w:w="6465" w:type="dxa"/>
          </w:tcPr>
          <w:p w14:paraId="65E44A96" w14:textId="76F6548B" w:rsidR="22691AE5" w:rsidRDefault="22691AE5" w:rsidP="2EAF5874">
            <w:r w:rsidRPr="2EAF5874">
              <w:rPr>
                <w:rFonts w:eastAsia="Palatino Linotype" w:cs="Palatino Linotype"/>
              </w:rPr>
              <w:t>A minimum of a practicum, or the equivalent, at the middle/secondary level (7-12) in an endorsement requiring competency with the Core Teaching Standards.</w:t>
            </w:r>
          </w:p>
          <w:p w14:paraId="0DE4B5B7" w14:textId="77777777" w:rsidR="00855499" w:rsidRPr="00855499" w:rsidRDefault="00855499" w:rsidP="00855499">
            <w:pPr>
              <w:rPr>
                <w:rFonts w:cs="Times New Roman"/>
                <w:bCs w:val="0"/>
              </w:rPr>
            </w:pPr>
          </w:p>
        </w:tc>
        <w:tc>
          <w:tcPr>
            <w:tcW w:w="1780" w:type="dxa"/>
          </w:tcPr>
          <w:p w14:paraId="66204FF1" w14:textId="77777777" w:rsidR="00855499" w:rsidRPr="00855499" w:rsidRDefault="00855499" w:rsidP="00855499">
            <w:pPr>
              <w:keepNext/>
              <w:outlineLvl w:val="5"/>
              <w:rPr>
                <w:rFonts w:cs="Times New Roman"/>
                <w:b/>
                <w:bCs w:val="0"/>
              </w:rPr>
            </w:pPr>
          </w:p>
        </w:tc>
        <w:tc>
          <w:tcPr>
            <w:tcW w:w="1958" w:type="dxa"/>
          </w:tcPr>
          <w:p w14:paraId="2DBF0D7D" w14:textId="77777777" w:rsidR="00855499" w:rsidRPr="00855499" w:rsidRDefault="00855499" w:rsidP="00855499">
            <w:pPr>
              <w:rPr>
                <w:rFonts w:cs="Times New Roman"/>
                <w:b/>
                <w:bCs w:val="0"/>
              </w:rPr>
            </w:pPr>
          </w:p>
        </w:tc>
      </w:tr>
      <w:tr w:rsidR="00855499" w:rsidRPr="00855499" w14:paraId="060CB6D1" w14:textId="77777777" w:rsidTr="2EAF5874">
        <w:trPr>
          <w:jc w:val="center"/>
        </w:trPr>
        <w:tc>
          <w:tcPr>
            <w:tcW w:w="6465" w:type="dxa"/>
            <w:tcBorders>
              <w:bottom w:val="single" w:sz="4" w:space="0" w:color="auto"/>
            </w:tcBorders>
          </w:tcPr>
          <w:p w14:paraId="758B64C7" w14:textId="77777777" w:rsidR="00855499" w:rsidRPr="00855499" w:rsidRDefault="00855499" w:rsidP="00855499">
            <w:pPr>
              <w:rPr>
                <w:rFonts w:cs="Times New Roman"/>
                <w:b/>
                <w:bCs w:val="0"/>
              </w:rPr>
            </w:pPr>
            <w:r w:rsidRPr="00855499">
              <w:rPr>
                <w:rFonts w:cs="Times New Roman"/>
                <w:b/>
                <w:bCs w:val="0"/>
              </w:rPr>
              <w:t>Required Testing: Praxis II Subject Assessment: General Science - Test Code 5435</w:t>
            </w:r>
          </w:p>
          <w:p w14:paraId="593201E0" w14:textId="77777777" w:rsidR="008F2B95" w:rsidRDefault="00855499" w:rsidP="00855499">
            <w:pPr>
              <w:rPr>
                <w:rFonts w:cs="Times New Roman"/>
                <w:b/>
                <w:bCs w:val="0"/>
              </w:rPr>
            </w:pPr>
            <w:r w:rsidRPr="00855499">
              <w:rPr>
                <w:rFonts w:cs="Times New Roman"/>
                <w:b/>
                <w:bCs w:val="0"/>
              </w:rPr>
              <w:t>Biology - Test Code 5235</w:t>
            </w:r>
          </w:p>
          <w:p w14:paraId="456C9AF8" w14:textId="77777777" w:rsidR="008F2B95" w:rsidRDefault="00855499" w:rsidP="00855499">
            <w:pPr>
              <w:rPr>
                <w:rFonts w:cs="Times New Roman"/>
                <w:b/>
                <w:bCs w:val="0"/>
              </w:rPr>
            </w:pPr>
            <w:r w:rsidRPr="00855499">
              <w:rPr>
                <w:rFonts w:cs="Times New Roman"/>
                <w:b/>
                <w:bCs w:val="0"/>
              </w:rPr>
              <w:t>Chemistry - Test Code 5245</w:t>
            </w:r>
          </w:p>
          <w:p w14:paraId="5C00B6D8" w14:textId="77777777" w:rsidR="008F2B95" w:rsidRDefault="00855499" w:rsidP="00855499">
            <w:pPr>
              <w:rPr>
                <w:rFonts w:cs="Times New Roman"/>
                <w:b/>
                <w:bCs w:val="0"/>
              </w:rPr>
            </w:pPr>
            <w:r w:rsidRPr="00855499">
              <w:rPr>
                <w:rFonts w:cs="Times New Roman"/>
                <w:b/>
                <w:bCs w:val="0"/>
              </w:rPr>
              <w:t>Physics - Test Code 5265</w:t>
            </w:r>
          </w:p>
          <w:p w14:paraId="0C455341" w14:textId="77777777" w:rsidR="00855499" w:rsidRPr="00855499" w:rsidRDefault="00855499" w:rsidP="00855499">
            <w:pPr>
              <w:rPr>
                <w:rFonts w:cs="Times New Roman"/>
                <w:b/>
                <w:bCs w:val="0"/>
              </w:rPr>
            </w:pPr>
            <w:r w:rsidRPr="00855499">
              <w:rPr>
                <w:rFonts w:cs="Times New Roman"/>
                <w:b/>
                <w:bCs w:val="0"/>
              </w:rPr>
              <w:t>Earth Science - Test Code 5571</w:t>
            </w:r>
          </w:p>
          <w:p w14:paraId="680A4E5D" w14:textId="77777777" w:rsidR="00855499" w:rsidRPr="00855499" w:rsidRDefault="00855499" w:rsidP="00855499">
            <w:pPr>
              <w:rPr>
                <w:rFonts w:cs="Times New Roman"/>
                <w:b/>
                <w:bCs w:val="0"/>
              </w:rPr>
            </w:pPr>
          </w:p>
          <w:p w14:paraId="602A5643" w14:textId="77777777" w:rsidR="00855499" w:rsidRPr="00855499" w:rsidRDefault="00855499" w:rsidP="00855499">
            <w:pPr>
              <w:rPr>
                <w:rFonts w:cs="Times New Roman"/>
                <w:b/>
                <w:bCs w:val="0"/>
              </w:rPr>
            </w:pPr>
            <w:r w:rsidRPr="00855499">
              <w:rPr>
                <w:rFonts w:cs="Times New Roman"/>
                <w:b/>
                <w:bCs w:val="0"/>
              </w:rPr>
              <w:t>Candidates must achieve a passing score on the General Science test AND one Science subject specific test.</w:t>
            </w:r>
          </w:p>
          <w:p w14:paraId="19219836" w14:textId="77777777" w:rsidR="00855499" w:rsidRPr="00855499" w:rsidRDefault="00855499" w:rsidP="00855499">
            <w:pPr>
              <w:rPr>
                <w:rFonts w:cs="Times New Roman"/>
                <w:bCs w:val="0"/>
              </w:rPr>
            </w:pPr>
          </w:p>
        </w:tc>
        <w:tc>
          <w:tcPr>
            <w:tcW w:w="1780" w:type="dxa"/>
            <w:tcBorders>
              <w:bottom w:val="single" w:sz="4" w:space="0" w:color="auto"/>
            </w:tcBorders>
          </w:tcPr>
          <w:p w14:paraId="296FEF7D" w14:textId="77777777" w:rsidR="00855499" w:rsidRPr="00855499" w:rsidRDefault="00855499" w:rsidP="00855499">
            <w:pPr>
              <w:keepNext/>
              <w:outlineLvl w:val="5"/>
              <w:rPr>
                <w:rFonts w:cs="Times New Roman"/>
                <w:b/>
                <w:bCs w:val="0"/>
              </w:rPr>
            </w:pPr>
          </w:p>
        </w:tc>
        <w:tc>
          <w:tcPr>
            <w:tcW w:w="1958" w:type="dxa"/>
            <w:tcBorders>
              <w:bottom w:val="single" w:sz="4" w:space="0" w:color="auto"/>
            </w:tcBorders>
          </w:tcPr>
          <w:p w14:paraId="7194DBDC" w14:textId="77777777" w:rsidR="00855499" w:rsidRPr="00855499" w:rsidRDefault="00855499" w:rsidP="00855499">
            <w:pPr>
              <w:rPr>
                <w:rFonts w:cs="Times New Roman"/>
                <w:b/>
                <w:bCs w:val="0"/>
              </w:rPr>
            </w:pPr>
          </w:p>
        </w:tc>
      </w:tr>
    </w:tbl>
    <w:p w14:paraId="1231BE67" w14:textId="77777777" w:rsidR="00855499" w:rsidRPr="00855499" w:rsidRDefault="00855499" w:rsidP="00855499">
      <w:pPr>
        <w:rPr>
          <w:rFonts w:cs="Times New Roman"/>
          <w:bCs w:val="0"/>
        </w:rPr>
      </w:pPr>
    </w:p>
    <w:p w14:paraId="36FEB5B0" w14:textId="77777777" w:rsidR="00855499" w:rsidRPr="00855499" w:rsidRDefault="00855499" w:rsidP="00855499">
      <w:pPr>
        <w:rPr>
          <w:rFonts w:cs="Times New Roman"/>
          <w:bCs w:val="0"/>
        </w:rPr>
      </w:pPr>
    </w:p>
    <w:p w14:paraId="30D7AA69" w14:textId="77777777" w:rsidR="00F90A87" w:rsidRPr="00855499" w:rsidRDefault="00F90A87" w:rsidP="00855499">
      <w:pPr>
        <w:ind w:left="180"/>
      </w:pPr>
    </w:p>
    <w:sectPr w:rsidR="00F90A87" w:rsidRPr="00855499" w:rsidSect="002114CA">
      <w:headerReference w:type="default" r:id="rId12"/>
      <w:footerReference w:type="default" r:id="rId13"/>
      <w:headerReference w:type="first" r:id="rId14"/>
      <w:footerReference w:type="first" r:id="rId15"/>
      <w:pgSz w:w="12240" w:h="15840"/>
      <w:pgMar w:top="1440" w:right="1080" w:bottom="1440" w:left="1080" w:header="27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6D064" w14:textId="77777777" w:rsidR="00231CDA" w:rsidRDefault="00231CDA" w:rsidP="004062C7">
      <w:r>
        <w:separator/>
      </w:r>
    </w:p>
  </w:endnote>
  <w:endnote w:type="continuationSeparator" w:id="0">
    <w:p w14:paraId="34FF1C98" w14:textId="77777777" w:rsidR="00231CDA" w:rsidRDefault="00231CDA"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3"/>
      <w:gridCol w:w="1584"/>
      <w:gridCol w:w="3633"/>
    </w:tblGrid>
    <w:tr w:rsidR="00796D5F" w14:paraId="12C03907" w14:textId="77777777" w:rsidTr="2EAF5874">
      <w:trPr>
        <w:cantSplit/>
        <w:trHeight w:val="633"/>
        <w:tblHeader/>
      </w:trPr>
      <w:tc>
        <w:tcPr>
          <w:tcW w:w="4143" w:type="dxa"/>
        </w:tcPr>
        <w:p w14:paraId="786FD7CE" w14:textId="44E9C7DF" w:rsidR="00B13384" w:rsidRPr="00937FFC" w:rsidRDefault="2EAF5874" w:rsidP="2EAF5874">
          <w:pPr>
            <w:rPr>
              <w:sz w:val="20"/>
              <w:szCs w:val="20"/>
            </w:rPr>
          </w:pPr>
          <w:r w:rsidRPr="2EAF5874">
            <w:rPr>
              <w:sz w:val="20"/>
              <w:szCs w:val="20"/>
            </w:rPr>
            <w:t>Transcript Review Worksheet 10/7/21</w:t>
          </w:r>
        </w:p>
      </w:tc>
      <w:tc>
        <w:tcPr>
          <w:tcW w:w="1584" w:type="dxa"/>
        </w:tcPr>
        <w:p w14:paraId="2587436A"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201EB1">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201EB1" w:rsidRPr="00201EB1">
            <w:rPr>
              <w:b/>
              <w:noProof/>
              <w:sz w:val="20"/>
            </w:rPr>
            <w:t>2</w:t>
          </w:r>
          <w:r w:rsidRPr="00937FFC">
            <w:rPr>
              <w:b/>
              <w:noProof/>
              <w:sz w:val="20"/>
            </w:rPr>
            <w:fldChar w:fldCharType="end"/>
          </w:r>
        </w:p>
      </w:tc>
      <w:tc>
        <w:tcPr>
          <w:tcW w:w="3633" w:type="dxa"/>
        </w:tcPr>
        <w:p w14:paraId="0F3CABC7" w14:textId="77777777" w:rsidR="00796D5F" w:rsidRPr="00937FFC" w:rsidRDefault="00796D5F" w:rsidP="00796D5F">
          <w:pPr>
            <w:jc w:val="right"/>
            <w:rPr>
              <w:sz w:val="20"/>
              <w:szCs w:val="18"/>
            </w:rPr>
          </w:pPr>
          <w:r w:rsidRPr="00937FFC">
            <w:rPr>
              <w:noProof/>
              <w:sz w:val="20"/>
            </w:rPr>
            <w:drawing>
              <wp:inline distT="0" distB="0" distL="0" distR="0" wp14:anchorId="193FFAF9" wp14:editId="468BE2D2">
                <wp:extent cx="920017" cy="230744"/>
                <wp:effectExtent l="0" t="0" r="0" b="0"/>
                <wp:docPr id="13" name="Picture 13"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5B08B5D1" w14:textId="77777777" w:rsidR="00B13384" w:rsidRDefault="00B13384" w:rsidP="00B13384">
    <w:pPr>
      <w:rPr>
        <w:sz w:val="20"/>
      </w:rPr>
    </w:pPr>
  </w:p>
  <w:p w14:paraId="16DEB4AB"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EAF5874" w14:paraId="5D63887D" w14:textId="77777777" w:rsidTr="2EAF5874">
      <w:tc>
        <w:tcPr>
          <w:tcW w:w="3120" w:type="dxa"/>
        </w:tcPr>
        <w:p w14:paraId="6FF69D2B" w14:textId="6EA9E890" w:rsidR="2EAF5874" w:rsidRDefault="2EAF5874" w:rsidP="2EAF5874">
          <w:pPr>
            <w:pStyle w:val="Header"/>
            <w:ind w:left="-115"/>
          </w:pPr>
        </w:p>
      </w:tc>
      <w:tc>
        <w:tcPr>
          <w:tcW w:w="3120" w:type="dxa"/>
        </w:tcPr>
        <w:p w14:paraId="09667C43" w14:textId="187371B0" w:rsidR="2EAF5874" w:rsidRDefault="2EAF5874" w:rsidP="2EAF5874">
          <w:pPr>
            <w:pStyle w:val="Header"/>
            <w:jc w:val="center"/>
          </w:pPr>
        </w:p>
      </w:tc>
      <w:tc>
        <w:tcPr>
          <w:tcW w:w="3120" w:type="dxa"/>
        </w:tcPr>
        <w:p w14:paraId="6FE9BA18" w14:textId="660A7CE4" w:rsidR="2EAF5874" w:rsidRDefault="2EAF5874" w:rsidP="2EAF5874">
          <w:pPr>
            <w:pStyle w:val="Header"/>
            <w:ind w:right="-115"/>
            <w:jc w:val="right"/>
          </w:pPr>
        </w:p>
      </w:tc>
    </w:tr>
  </w:tbl>
  <w:p w14:paraId="478C2D80" w14:textId="7FCA1F4C" w:rsidR="2EAF5874" w:rsidRDefault="2EAF5874" w:rsidP="2EAF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72C0D" w14:textId="77777777" w:rsidR="00231CDA" w:rsidRDefault="00231CDA" w:rsidP="004062C7">
      <w:r>
        <w:separator/>
      </w:r>
    </w:p>
  </w:footnote>
  <w:footnote w:type="continuationSeparator" w:id="0">
    <w:p w14:paraId="48A21919" w14:textId="77777777" w:rsidR="00231CDA" w:rsidRDefault="00231CDA"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EAF5874" w14:paraId="69E3BCC6" w14:textId="77777777" w:rsidTr="2EAF5874">
      <w:tc>
        <w:tcPr>
          <w:tcW w:w="3120" w:type="dxa"/>
        </w:tcPr>
        <w:p w14:paraId="409CABDA" w14:textId="3E1DAA2F" w:rsidR="2EAF5874" w:rsidRDefault="2EAF5874" w:rsidP="2EAF5874">
          <w:pPr>
            <w:pStyle w:val="Header"/>
            <w:ind w:left="-115"/>
          </w:pPr>
        </w:p>
      </w:tc>
      <w:tc>
        <w:tcPr>
          <w:tcW w:w="3120" w:type="dxa"/>
        </w:tcPr>
        <w:p w14:paraId="78FB290A" w14:textId="1A33C443" w:rsidR="2EAF5874" w:rsidRDefault="2EAF5874" w:rsidP="2EAF5874">
          <w:pPr>
            <w:pStyle w:val="Header"/>
            <w:jc w:val="center"/>
          </w:pPr>
        </w:p>
      </w:tc>
      <w:tc>
        <w:tcPr>
          <w:tcW w:w="3120" w:type="dxa"/>
        </w:tcPr>
        <w:p w14:paraId="55C29D47" w14:textId="30507712" w:rsidR="2EAF5874" w:rsidRDefault="2EAF5874" w:rsidP="2EAF5874">
          <w:pPr>
            <w:pStyle w:val="Header"/>
            <w:ind w:right="-115"/>
            <w:jc w:val="right"/>
          </w:pPr>
        </w:p>
      </w:tc>
    </w:tr>
  </w:tbl>
  <w:p w14:paraId="396D4363" w14:textId="44AA0B8B" w:rsidR="2EAF5874" w:rsidRDefault="2EAF5874" w:rsidP="2EAF5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18F9B" w14:textId="77777777" w:rsidR="002114CA" w:rsidRPr="002114CA" w:rsidRDefault="002114CA" w:rsidP="002114CA">
    <w:pPr>
      <w:pStyle w:val="Header"/>
      <w:jc w:val="center"/>
      <w:rPr>
        <w:rFonts w:ascii="Palatino Linotype" w:hAnsi="Palatino Linotype"/>
      </w:rPr>
    </w:pPr>
    <w:bookmarkStart w:id="0" w:name="_Hlk33188501"/>
    <w:bookmarkStart w:id="1" w:name="_Hlk33188502"/>
    <w:bookmarkStart w:id="2" w:name="_Hlk33188508"/>
    <w:bookmarkStart w:id="3" w:name="_Hlk33188509"/>
    <w:r w:rsidRPr="002114CA">
      <w:rPr>
        <w:rFonts w:ascii="Palatino Linotype" w:hAnsi="Palatino Linotype"/>
        <w:noProof/>
      </w:rPr>
      <w:drawing>
        <wp:inline distT="0" distB="0" distL="0" distR="0" wp14:anchorId="008486C9" wp14:editId="77338596">
          <wp:extent cx="1614621" cy="550321"/>
          <wp:effectExtent l="0" t="0" r="5080" b="2540"/>
          <wp:docPr id="14" name="Picture 14"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4FE16228" w14:textId="43DD14D1" w:rsidR="002114CA" w:rsidRPr="002114CA" w:rsidRDefault="002114CA" w:rsidP="002114CA">
    <w:pPr>
      <w:pStyle w:val="AOE-Header"/>
    </w:pPr>
    <w:r w:rsidRPr="002114CA">
      <w:rPr>
        <w:shd w:val="clear" w:color="auto" w:fill="FFFFFF"/>
      </w:rPr>
      <w:t>1 National Life Drive, Davis 5</w:t>
    </w:r>
    <w:r w:rsidRPr="002114CA">
      <w:br/>
    </w:r>
    <w:r w:rsidRPr="002114CA">
      <w:rPr>
        <w:shd w:val="clear" w:color="auto" w:fill="FFFFFF"/>
      </w:rPr>
      <w:t>Montpelier, VT 05602</w:t>
    </w:r>
    <w:r w:rsidRPr="002114CA">
      <w:t xml:space="preserve"> (p) 802-828-1130 | (f) 802-828-643</w:t>
    </w:r>
    <w:r w:rsidR="004E1D44">
      <w:t>3</w:t>
    </w:r>
  </w:p>
  <w:bookmarkEnd w:id="0"/>
  <w:bookmarkEnd w:id="1"/>
  <w:bookmarkEnd w:id="2"/>
  <w:bookmarkEnd w:id="3"/>
  <w:p w14:paraId="238601FE" w14:textId="77777777" w:rsidR="002237E0" w:rsidRPr="002114CA" w:rsidRDefault="002237E0" w:rsidP="002114CA">
    <w:pPr>
      <w:pStyle w:val="Header"/>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36109"/>
    <w:multiLevelType w:val="hybridMultilevel"/>
    <w:tmpl w:val="DDB65406"/>
    <w:lvl w:ilvl="0" w:tplc="F08824A6">
      <w:start w:val="1"/>
      <w:numFmt w:val="bullet"/>
      <w:lvlText w:val=""/>
      <w:lvlJc w:val="left"/>
      <w:pPr>
        <w:ind w:left="720" w:hanging="360"/>
      </w:pPr>
      <w:rPr>
        <w:rFonts w:ascii="Symbol" w:hAnsi="Symbol" w:hint="default"/>
      </w:rPr>
    </w:lvl>
    <w:lvl w:ilvl="1" w:tplc="7E4EFBD2">
      <w:start w:val="1"/>
      <w:numFmt w:val="bullet"/>
      <w:lvlText w:val="o"/>
      <w:lvlJc w:val="left"/>
      <w:pPr>
        <w:ind w:left="1440" w:hanging="360"/>
      </w:pPr>
      <w:rPr>
        <w:rFonts w:ascii="Courier New" w:hAnsi="Courier New" w:hint="default"/>
      </w:rPr>
    </w:lvl>
    <w:lvl w:ilvl="2" w:tplc="6C5689CC">
      <w:start w:val="1"/>
      <w:numFmt w:val="bullet"/>
      <w:lvlText w:val=""/>
      <w:lvlJc w:val="left"/>
      <w:pPr>
        <w:ind w:left="2160" w:hanging="360"/>
      </w:pPr>
      <w:rPr>
        <w:rFonts w:ascii="Wingdings" w:hAnsi="Wingdings" w:hint="default"/>
      </w:rPr>
    </w:lvl>
    <w:lvl w:ilvl="3" w:tplc="E530E92C">
      <w:start w:val="1"/>
      <w:numFmt w:val="bullet"/>
      <w:lvlText w:val=""/>
      <w:lvlJc w:val="left"/>
      <w:pPr>
        <w:ind w:left="2880" w:hanging="360"/>
      </w:pPr>
      <w:rPr>
        <w:rFonts w:ascii="Symbol" w:hAnsi="Symbol" w:hint="default"/>
      </w:rPr>
    </w:lvl>
    <w:lvl w:ilvl="4" w:tplc="F89E50C6">
      <w:start w:val="1"/>
      <w:numFmt w:val="bullet"/>
      <w:lvlText w:val="o"/>
      <w:lvlJc w:val="left"/>
      <w:pPr>
        <w:ind w:left="3600" w:hanging="360"/>
      </w:pPr>
      <w:rPr>
        <w:rFonts w:ascii="Courier New" w:hAnsi="Courier New" w:hint="default"/>
      </w:rPr>
    </w:lvl>
    <w:lvl w:ilvl="5" w:tplc="3D6E3570">
      <w:start w:val="1"/>
      <w:numFmt w:val="bullet"/>
      <w:lvlText w:val=""/>
      <w:lvlJc w:val="left"/>
      <w:pPr>
        <w:ind w:left="4320" w:hanging="360"/>
      </w:pPr>
      <w:rPr>
        <w:rFonts w:ascii="Wingdings" w:hAnsi="Wingdings" w:hint="default"/>
      </w:rPr>
    </w:lvl>
    <w:lvl w:ilvl="6" w:tplc="8C6C9D66">
      <w:start w:val="1"/>
      <w:numFmt w:val="bullet"/>
      <w:lvlText w:val=""/>
      <w:lvlJc w:val="left"/>
      <w:pPr>
        <w:ind w:left="5040" w:hanging="360"/>
      </w:pPr>
      <w:rPr>
        <w:rFonts w:ascii="Symbol" w:hAnsi="Symbol" w:hint="default"/>
      </w:rPr>
    </w:lvl>
    <w:lvl w:ilvl="7" w:tplc="D528EC12">
      <w:start w:val="1"/>
      <w:numFmt w:val="bullet"/>
      <w:lvlText w:val="o"/>
      <w:lvlJc w:val="left"/>
      <w:pPr>
        <w:ind w:left="5760" w:hanging="360"/>
      </w:pPr>
      <w:rPr>
        <w:rFonts w:ascii="Courier New" w:hAnsi="Courier New" w:hint="default"/>
      </w:rPr>
    </w:lvl>
    <w:lvl w:ilvl="8" w:tplc="2B8CE644">
      <w:start w:val="1"/>
      <w:numFmt w:val="bullet"/>
      <w:lvlText w:val=""/>
      <w:lvlJc w:val="left"/>
      <w:pPr>
        <w:ind w:left="6480" w:hanging="360"/>
      </w:pPr>
      <w:rPr>
        <w:rFonts w:ascii="Wingdings" w:hAnsi="Wingdings" w:hint="default"/>
      </w:rPr>
    </w:lvl>
  </w:abstractNum>
  <w:abstractNum w:abstractNumId="1" w15:restartNumberingAfterBreak="0">
    <w:nsid w:val="0B7E1560"/>
    <w:multiLevelType w:val="hybridMultilevel"/>
    <w:tmpl w:val="06F8AAC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87FB6"/>
    <w:multiLevelType w:val="hybridMultilevel"/>
    <w:tmpl w:val="7B1092CE"/>
    <w:lvl w:ilvl="0" w:tplc="62720AC0">
      <w:start w:val="1"/>
      <w:numFmt w:val="bullet"/>
      <w:lvlText w:val=""/>
      <w:lvlJc w:val="left"/>
      <w:pPr>
        <w:ind w:left="720" w:hanging="360"/>
      </w:pPr>
      <w:rPr>
        <w:rFonts w:ascii="Symbol" w:hAnsi="Symbol" w:hint="default"/>
      </w:rPr>
    </w:lvl>
    <w:lvl w:ilvl="1" w:tplc="A394F256">
      <w:start w:val="1"/>
      <w:numFmt w:val="bullet"/>
      <w:lvlText w:val="o"/>
      <w:lvlJc w:val="left"/>
      <w:pPr>
        <w:ind w:left="1440" w:hanging="360"/>
      </w:pPr>
      <w:rPr>
        <w:rFonts w:ascii="Courier New" w:hAnsi="Courier New" w:hint="default"/>
      </w:rPr>
    </w:lvl>
    <w:lvl w:ilvl="2" w:tplc="927620D0">
      <w:start w:val="1"/>
      <w:numFmt w:val="bullet"/>
      <w:lvlText w:val=""/>
      <w:lvlJc w:val="left"/>
      <w:pPr>
        <w:ind w:left="2160" w:hanging="360"/>
      </w:pPr>
      <w:rPr>
        <w:rFonts w:ascii="Wingdings" w:hAnsi="Wingdings" w:hint="default"/>
      </w:rPr>
    </w:lvl>
    <w:lvl w:ilvl="3" w:tplc="56BCE186">
      <w:start w:val="1"/>
      <w:numFmt w:val="bullet"/>
      <w:lvlText w:val=""/>
      <w:lvlJc w:val="left"/>
      <w:pPr>
        <w:ind w:left="2880" w:hanging="360"/>
      </w:pPr>
      <w:rPr>
        <w:rFonts w:ascii="Symbol" w:hAnsi="Symbol" w:hint="default"/>
      </w:rPr>
    </w:lvl>
    <w:lvl w:ilvl="4" w:tplc="73EEF6CE">
      <w:start w:val="1"/>
      <w:numFmt w:val="bullet"/>
      <w:lvlText w:val="o"/>
      <w:lvlJc w:val="left"/>
      <w:pPr>
        <w:ind w:left="3600" w:hanging="360"/>
      </w:pPr>
      <w:rPr>
        <w:rFonts w:ascii="Courier New" w:hAnsi="Courier New" w:hint="default"/>
      </w:rPr>
    </w:lvl>
    <w:lvl w:ilvl="5" w:tplc="D2FC9E4C">
      <w:start w:val="1"/>
      <w:numFmt w:val="bullet"/>
      <w:lvlText w:val=""/>
      <w:lvlJc w:val="left"/>
      <w:pPr>
        <w:ind w:left="4320" w:hanging="360"/>
      </w:pPr>
      <w:rPr>
        <w:rFonts w:ascii="Wingdings" w:hAnsi="Wingdings" w:hint="default"/>
      </w:rPr>
    </w:lvl>
    <w:lvl w:ilvl="6" w:tplc="646CE92C">
      <w:start w:val="1"/>
      <w:numFmt w:val="bullet"/>
      <w:lvlText w:val=""/>
      <w:lvlJc w:val="left"/>
      <w:pPr>
        <w:ind w:left="5040" w:hanging="360"/>
      </w:pPr>
      <w:rPr>
        <w:rFonts w:ascii="Symbol" w:hAnsi="Symbol" w:hint="default"/>
      </w:rPr>
    </w:lvl>
    <w:lvl w:ilvl="7" w:tplc="DB1C7DC8">
      <w:start w:val="1"/>
      <w:numFmt w:val="bullet"/>
      <w:lvlText w:val="o"/>
      <w:lvlJc w:val="left"/>
      <w:pPr>
        <w:ind w:left="5760" w:hanging="360"/>
      </w:pPr>
      <w:rPr>
        <w:rFonts w:ascii="Courier New" w:hAnsi="Courier New" w:hint="default"/>
      </w:rPr>
    </w:lvl>
    <w:lvl w:ilvl="8" w:tplc="FE1E627E">
      <w:start w:val="1"/>
      <w:numFmt w:val="bullet"/>
      <w:lvlText w:val=""/>
      <w:lvlJc w:val="left"/>
      <w:pPr>
        <w:ind w:left="6480" w:hanging="360"/>
      </w:pPr>
      <w:rPr>
        <w:rFonts w:ascii="Wingdings" w:hAnsi="Wingdings" w:hint="default"/>
      </w:rPr>
    </w:lvl>
  </w:abstractNum>
  <w:abstractNum w:abstractNumId="18" w15:restartNumberingAfterBreak="0">
    <w:nsid w:val="474C63C3"/>
    <w:multiLevelType w:val="hybridMultilevel"/>
    <w:tmpl w:val="0CE4F336"/>
    <w:lvl w:ilvl="0" w:tplc="312A9B80">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912EA"/>
    <w:multiLevelType w:val="hybridMultilevel"/>
    <w:tmpl w:val="8C88C1EA"/>
    <w:lvl w:ilvl="0" w:tplc="BFBC3F32">
      <w:start w:val="1"/>
      <w:numFmt w:val="bullet"/>
      <w:lvlText w:val=""/>
      <w:lvlJc w:val="left"/>
      <w:pPr>
        <w:ind w:left="720" w:hanging="360"/>
      </w:pPr>
      <w:rPr>
        <w:rFonts w:ascii="Symbol" w:hAnsi="Symbol" w:hint="default"/>
      </w:rPr>
    </w:lvl>
    <w:lvl w:ilvl="1" w:tplc="C91E0E58">
      <w:start w:val="1"/>
      <w:numFmt w:val="bullet"/>
      <w:lvlText w:val="o"/>
      <w:lvlJc w:val="left"/>
      <w:pPr>
        <w:ind w:left="1440" w:hanging="360"/>
      </w:pPr>
      <w:rPr>
        <w:rFonts w:ascii="Courier New" w:hAnsi="Courier New" w:hint="default"/>
      </w:rPr>
    </w:lvl>
    <w:lvl w:ilvl="2" w:tplc="86C24EF2">
      <w:start w:val="1"/>
      <w:numFmt w:val="bullet"/>
      <w:lvlText w:val=""/>
      <w:lvlJc w:val="left"/>
      <w:pPr>
        <w:ind w:left="2160" w:hanging="360"/>
      </w:pPr>
      <w:rPr>
        <w:rFonts w:ascii="Wingdings" w:hAnsi="Wingdings" w:hint="default"/>
      </w:rPr>
    </w:lvl>
    <w:lvl w:ilvl="3" w:tplc="2D1880E2">
      <w:start w:val="1"/>
      <w:numFmt w:val="bullet"/>
      <w:lvlText w:val=""/>
      <w:lvlJc w:val="left"/>
      <w:pPr>
        <w:ind w:left="2880" w:hanging="360"/>
      </w:pPr>
      <w:rPr>
        <w:rFonts w:ascii="Symbol" w:hAnsi="Symbol" w:hint="default"/>
      </w:rPr>
    </w:lvl>
    <w:lvl w:ilvl="4" w:tplc="C2501508">
      <w:start w:val="1"/>
      <w:numFmt w:val="bullet"/>
      <w:lvlText w:val="o"/>
      <w:lvlJc w:val="left"/>
      <w:pPr>
        <w:ind w:left="3600" w:hanging="360"/>
      </w:pPr>
      <w:rPr>
        <w:rFonts w:ascii="Courier New" w:hAnsi="Courier New" w:hint="default"/>
      </w:rPr>
    </w:lvl>
    <w:lvl w:ilvl="5" w:tplc="3FDA1DF6">
      <w:start w:val="1"/>
      <w:numFmt w:val="bullet"/>
      <w:lvlText w:val=""/>
      <w:lvlJc w:val="left"/>
      <w:pPr>
        <w:ind w:left="4320" w:hanging="360"/>
      </w:pPr>
      <w:rPr>
        <w:rFonts w:ascii="Wingdings" w:hAnsi="Wingdings" w:hint="default"/>
      </w:rPr>
    </w:lvl>
    <w:lvl w:ilvl="6" w:tplc="EBF23534">
      <w:start w:val="1"/>
      <w:numFmt w:val="bullet"/>
      <w:lvlText w:val=""/>
      <w:lvlJc w:val="left"/>
      <w:pPr>
        <w:ind w:left="5040" w:hanging="360"/>
      </w:pPr>
      <w:rPr>
        <w:rFonts w:ascii="Symbol" w:hAnsi="Symbol" w:hint="default"/>
      </w:rPr>
    </w:lvl>
    <w:lvl w:ilvl="7" w:tplc="7AA8FF6A">
      <w:start w:val="1"/>
      <w:numFmt w:val="bullet"/>
      <w:lvlText w:val="o"/>
      <w:lvlJc w:val="left"/>
      <w:pPr>
        <w:ind w:left="5760" w:hanging="360"/>
      </w:pPr>
      <w:rPr>
        <w:rFonts w:ascii="Courier New" w:hAnsi="Courier New" w:hint="default"/>
      </w:rPr>
    </w:lvl>
    <w:lvl w:ilvl="8" w:tplc="45869EAA">
      <w:start w:val="1"/>
      <w:numFmt w:val="bullet"/>
      <w:lvlText w:val=""/>
      <w:lvlJc w:val="left"/>
      <w:pPr>
        <w:ind w:left="6480" w:hanging="360"/>
      </w:pPr>
      <w:rPr>
        <w:rFonts w:ascii="Wingdings" w:hAnsi="Wingdings" w:hint="default"/>
      </w:rPr>
    </w:lvl>
  </w:abstractNum>
  <w:abstractNum w:abstractNumId="2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7"/>
  </w:num>
  <w:num w:numId="2">
    <w:abstractNumId w:val="17"/>
  </w:num>
  <w:num w:numId="3">
    <w:abstractNumId w:val="0"/>
  </w:num>
  <w:num w:numId="4">
    <w:abstractNumId w:val="25"/>
  </w:num>
  <w:num w:numId="5">
    <w:abstractNumId w:val="13"/>
  </w:num>
  <w:num w:numId="6">
    <w:abstractNumId w:val="23"/>
  </w:num>
  <w:num w:numId="7">
    <w:abstractNumId w:val="20"/>
  </w:num>
  <w:num w:numId="8">
    <w:abstractNumId w:val="21"/>
  </w:num>
  <w:num w:numId="9">
    <w:abstractNumId w:val="6"/>
  </w:num>
  <w:num w:numId="10">
    <w:abstractNumId w:val="2"/>
  </w:num>
  <w:num w:numId="11">
    <w:abstractNumId w:val="14"/>
  </w:num>
  <w:num w:numId="12">
    <w:abstractNumId w:val="19"/>
  </w:num>
  <w:num w:numId="13">
    <w:abstractNumId w:val="26"/>
  </w:num>
  <w:num w:numId="14">
    <w:abstractNumId w:val="15"/>
  </w:num>
  <w:num w:numId="15">
    <w:abstractNumId w:val="8"/>
  </w:num>
  <w:num w:numId="16">
    <w:abstractNumId w:val="29"/>
  </w:num>
  <w:num w:numId="17">
    <w:abstractNumId w:val="9"/>
  </w:num>
  <w:num w:numId="18">
    <w:abstractNumId w:val="28"/>
  </w:num>
  <w:num w:numId="19">
    <w:abstractNumId w:val="5"/>
  </w:num>
  <w:num w:numId="20">
    <w:abstractNumId w:val="7"/>
  </w:num>
  <w:num w:numId="21">
    <w:abstractNumId w:val="16"/>
  </w:num>
  <w:num w:numId="22">
    <w:abstractNumId w:val="22"/>
  </w:num>
  <w:num w:numId="23">
    <w:abstractNumId w:val="11"/>
  </w:num>
  <w:num w:numId="24">
    <w:abstractNumId w:val="12"/>
  </w:num>
  <w:num w:numId="25">
    <w:abstractNumId w:val="10"/>
  </w:num>
  <w:num w:numId="26">
    <w:abstractNumId w:val="3"/>
  </w:num>
  <w:num w:numId="27">
    <w:abstractNumId w:val="24"/>
  </w:num>
  <w:num w:numId="28">
    <w:abstractNumId w:val="3"/>
  </w:num>
  <w:num w:numId="29">
    <w:abstractNumId w:val="4"/>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8C427E"/>
    <w:rsid w:val="00062DFA"/>
    <w:rsid w:val="0006346B"/>
    <w:rsid w:val="000F3A23"/>
    <w:rsid w:val="000F7F54"/>
    <w:rsid w:val="00102EA8"/>
    <w:rsid w:val="00161F11"/>
    <w:rsid w:val="001645D6"/>
    <w:rsid w:val="0017612B"/>
    <w:rsid w:val="001C1F88"/>
    <w:rsid w:val="001D07C0"/>
    <w:rsid w:val="001E7FBE"/>
    <w:rsid w:val="001F22D0"/>
    <w:rsid w:val="00201EB1"/>
    <w:rsid w:val="002114CA"/>
    <w:rsid w:val="00217F09"/>
    <w:rsid w:val="00221659"/>
    <w:rsid w:val="002237E0"/>
    <w:rsid w:val="00231CDA"/>
    <w:rsid w:val="0024786D"/>
    <w:rsid w:val="00256309"/>
    <w:rsid w:val="002A0C9D"/>
    <w:rsid w:val="002D6A73"/>
    <w:rsid w:val="002E0106"/>
    <w:rsid w:val="002E3710"/>
    <w:rsid w:val="002E7E11"/>
    <w:rsid w:val="00314055"/>
    <w:rsid w:val="00326074"/>
    <w:rsid w:val="003274F5"/>
    <w:rsid w:val="003275FD"/>
    <w:rsid w:val="00334D48"/>
    <w:rsid w:val="00340C04"/>
    <w:rsid w:val="003B7F81"/>
    <w:rsid w:val="003D0155"/>
    <w:rsid w:val="003D090F"/>
    <w:rsid w:val="004062C7"/>
    <w:rsid w:val="00442899"/>
    <w:rsid w:val="00444A7A"/>
    <w:rsid w:val="00490247"/>
    <w:rsid w:val="004923DB"/>
    <w:rsid w:val="004A7AD0"/>
    <w:rsid w:val="004B7F41"/>
    <w:rsid w:val="004E1D44"/>
    <w:rsid w:val="00500232"/>
    <w:rsid w:val="005464E9"/>
    <w:rsid w:val="0056727F"/>
    <w:rsid w:val="00575711"/>
    <w:rsid w:val="005A2F07"/>
    <w:rsid w:val="005D1A81"/>
    <w:rsid w:val="005D7389"/>
    <w:rsid w:val="005D7ABB"/>
    <w:rsid w:val="006062D9"/>
    <w:rsid w:val="00626212"/>
    <w:rsid w:val="0063049A"/>
    <w:rsid w:val="00651E8D"/>
    <w:rsid w:val="006703F6"/>
    <w:rsid w:val="006F698F"/>
    <w:rsid w:val="00721DF9"/>
    <w:rsid w:val="00734368"/>
    <w:rsid w:val="00746838"/>
    <w:rsid w:val="007963EC"/>
    <w:rsid w:val="00796D5F"/>
    <w:rsid w:val="007D17B1"/>
    <w:rsid w:val="007D5E67"/>
    <w:rsid w:val="007E3BD6"/>
    <w:rsid w:val="0082162E"/>
    <w:rsid w:val="00855499"/>
    <w:rsid w:val="00865A62"/>
    <w:rsid w:val="0087647A"/>
    <w:rsid w:val="008C332D"/>
    <w:rsid w:val="008C427E"/>
    <w:rsid w:val="008F2B95"/>
    <w:rsid w:val="008F6F90"/>
    <w:rsid w:val="0092656D"/>
    <w:rsid w:val="00937F53"/>
    <w:rsid w:val="00937FFC"/>
    <w:rsid w:val="0094350D"/>
    <w:rsid w:val="00961A6D"/>
    <w:rsid w:val="009D24B2"/>
    <w:rsid w:val="009D4528"/>
    <w:rsid w:val="00A1547A"/>
    <w:rsid w:val="00A24AEB"/>
    <w:rsid w:val="00A92164"/>
    <w:rsid w:val="00AD4B66"/>
    <w:rsid w:val="00AF33BA"/>
    <w:rsid w:val="00AF602B"/>
    <w:rsid w:val="00B04C63"/>
    <w:rsid w:val="00B13384"/>
    <w:rsid w:val="00B25D38"/>
    <w:rsid w:val="00B25DEC"/>
    <w:rsid w:val="00B6001B"/>
    <w:rsid w:val="00BD7ABE"/>
    <w:rsid w:val="00BE43B0"/>
    <w:rsid w:val="00CB29BB"/>
    <w:rsid w:val="00CC230C"/>
    <w:rsid w:val="00D04EC2"/>
    <w:rsid w:val="00D064CA"/>
    <w:rsid w:val="00D22EA0"/>
    <w:rsid w:val="00D41020"/>
    <w:rsid w:val="00DE7FA2"/>
    <w:rsid w:val="00E2171D"/>
    <w:rsid w:val="00E606BA"/>
    <w:rsid w:val="00E773E9"/>
    <w:rsid w:val="00ED3A89"/>
    <w:rsid w:val="00F65CB1"/>
    <w:rsid w:val="00F76AD8"/>
    <w:rsid w:val="00F90A87"/>
    <w:rsid w:val="00FA084B"/>
    <w:rsid w:val="00FE2356"/>
    <w:rsid w:val="00FF7E65"/>
    <w:rsid w:val="01104867"/>
    <w:rsid w:val="016D4660"/>
    <w:rsid w:val="0D4BB8BF"/>
    <w:rsid w:val="22691AE5"/>
    <w:rsid w:val="284016F0"/>
    <w:rsid w:val="2B77B7B2"/>
    <w:rsid w:val="2EAF5874"/>
    <w:rsid w:val="329239DA"/>
    <w:rsid w:val="32A3D8E3"/>
    <w:rsid w:val="3568BBE6"/>
    <w:rsid w:val="3930D550"/>
    <w:rsid w:val="395CD04E"/>
    <w:rsid w:val="39E10315"/>
    <w:rsid w:val="3FA016D4"/>
    <w:rsid w:val="42D2FD46"/>
    <w:rsid w:val="42D7B796"/>
    <w:rsid w:val="4590617C"/>
    <w:rsid w:val="46905D8C"/>
    <w:rsid w:val="46ABAD1F"/>
    <w:rsid w:val="4AEAB701"/>
    <w:rsid w:val="4C33744D"/>
    <w:rsid w:val="4CE5310A"/>
    <w:rsid w:val="4EE9A9EA"/>
    <w:rsid w:val="4F7743F1"/>
    <w:rsid w:val="5159F885"/>
    <w:rsid w:val="52F5C8E6"/>
    <w:rsid w:val="5614741C"/>
    <w:rsid w:val="5CE7A647"/>
    <w:rsid w:val="624AB6E5"/>
    <w:rsid w:val="634601BC"/>
    <w:rsid w:val="64E1D21D"/>
    <w:rsid w:val="68B04576"/>
    <w:rsid w:val="73E382B3"/>
    <w:rsid w:val="73FCAB10"/>
    <w:rsid w:val="790A313F"/>
    <w:rsid w:val="7E7E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EEFF4"/>
  <w15:docId w15:val="{A3995EC1-ACEA-4DB4-B9EE-F555F20C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6">
    <w:name w:val="heading 6"/>
    <w:basedOn w:val="Normal"/>
    <w:next w:val="Normal"/>
    <w:link w:val="Heading6Char"/>
    <w:uiPriority w:val="9"/>
    <w:semiHidden/>
    <w:unhideWhenUsed/>
    <w:qFormat/>
    <w:rsid w:val="00B1338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6"/>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9"/>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character" w:customStyle="1" w:styleId="Heading6Char">
    <w:name w:val="Heading 6 Char"/>
    <w:basedOn w:val="DefaultParagraphFont"/>
    <w:link w:val="Heading6"/>
    <w:uiPriority w:val="9"/>
    <w:semiHidden/>
    <w:rsid w:val="00B13384"/>
    <w:rPr>
      <w:rFonts w:asciiTheme="majorHAnsi" w:eastAsiaTheme="majorEastAsia" w:hAnsiTheme="majorHAnsi" w:cstheme="majorBidi"/>
      <w:b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educator-quality-licensing-ru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B1D56-0EFE-4011-BDF4-264AE0965AE9}">
  <ds:schemaRefs>
    <ds:schemaRef ds:uri="http://schemas.openxmlformats.org/officeDocument/2006/bibliography"/>
  </ds:schemaRefs>
</ds:datastoreItem>
</file>

<file path=customXml/itemProps2.xml><?xml version="1.0" encoding="utf-8"?>
<ds:datastoreItem xmlns:ds="http://schemas.openxmlformats.org/officeDocument/2006/customXml" ds:itemID="{A635C4AA-CD5A-4280-847E-DFDB5F217A5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08FBAFD-6D86-4A82-9612-E352C7DE0819}">
  <ds:schemaRefs>
    <ds:schemaRef ds:uri="http://schemas.microsoft.com/sharepoint/v3/contenttype/forms"/>
  </ds:schemaRefs>
</ds:datastoreItem>
</file>

<file path=customXml/itemProps4.xml><?xml version="1.0" encoding="utf-8"?>
<ds:datastoreItem xmlns:ds="http://schemas.openxmlformats.org/officeDocument/2006/customXml" ds:itemID="{241871A4-FF8A-4900-AE33-0CB55E14F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6204</Characters>
  <Application>Microsoft Office Word</Application>
  <DocSecurity>0</DocSecurity>
  <Lines>155</Lines>
  <Paragraphs>80</Paragraphs>
  <ScaleCrop>false</ScaleCrop>
  <Company>Vermont Agency of Education</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Review Worksheet Science</dc:title>
  <dc:creator>Kara Mayo</dc:creator>
  <cp:keywords/>
  <cp:lastModifiedBy>Scalabrini, Amy</cp:lastModifiedBy>
  <cp:revision>5</cp:revision>
  <cp:lastPrinted>2015-09-09T16:37:00Z</cp:lastPrinted>
  <dcterms:created xsi:type="dcterms:W3CDTF">2020-02-21T19:45:00Z</dcterms:created>
  <dcterms:modified xsi:type="dcterms:W3CDTF">2021-12-16T17:42:00Z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