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0156" w14:textId="77777777" w:rsidR="00E1351C" w:rsidRPr="0058200E" w:rsidRDefault="00E1351C" w:rsidP="00E1351C">
      <w:pPr>
        <w:spacing w:line="240" w:lineRule="auto"/>
        <w:jc w:val="center"/>
        <w:rPr>
          <w:rFonts w:ascii="Palatino Linotype" w:eastAsia="Palatino Linotype" w:hAnsi="Palatino Linotype" w:cs="Palatino Linotype"/>
          <w:sz w:val="24"/>
          <w:szCs w:val="24"/>
        </w:rPr>
      </w:pPr>
      <w:r w:rsidRPr="0058200E">
        <w:rPr>
          <w:rFonts w:ascii="Palatino Linotype" w:eastAsia="Palatino Linotype" w:hAnsi="Palatino Linotype" w:cs="Palatino Linotype"/>
          <w:b/>
          <w:sz w:val="24"/>
          <w:szCs w:val="24"/>
          <w:u w:val="single"/>
        </w:rPr>
        <w:t>Transcript Review Worksheet</w:t>
      </w:r>
    </w:p>
    <w:p w14:paraId="672A6659" w14:textId="77777777" w:rsidR="00E1351C" w:rsidRPr="0058200E" w:rsidRDefault="00E1351C" w:rsidP="00E1351C">
      <w:pPr>
        <w:spacing w:line="240" w:lineRule="auto"/>
        <w:jc w:val="center"/>
        <w:rPr>
          <w:rFonts w:ascii="Palatino Linotype" w:eastAsia="Palatino Linotype" w:hAnsi="Palatino Linotype" w:cs="Palatino Linotype"/>
        </w:rPr>
      </w:pPr>
    </w:p>
    <w:p w14:paraId="47352C14" w14:textId="77777777" w:rsidR="00E1351C" w:rsidRPr="00E1351C" w:rsidRDefault="00E1351C" w:rsidP="00E1351C">
      <w:pPr>
        <w:spacing w:after="120"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sz w:val="24"/>
          <w:szCs w:val="24"/>
        </w:rPr>
        <w:t xml:space="preserve"> 5440-</w:t>
      </w:r>
      <w:r w:rsidR="007458C3">
        <w:rPr>
          <w:rFonts w:ascii="Palatino Linotype" w:eastAsia="Palatino Linotype" w:hAnsi="Palatino Linotype" w:cs="Palatino Linotype"/>
          <w:b/>
          <w:sz w:val="24"/>
          <w:szCs w:val="24"/>
        </w:rPr>
        <w:t>25</w:t>
      </w:r>
      <w:r w:rsidRPr="00E1351C">
        <w:rPr>
          <w:rFonts w:ascii="Palatino Linotype" w:eastAsia="Palatino Linotype" w:hAnsi="Palatino Linotype" w:cs="Palatino Linotype"/>
          <w:b/>
        </w:rPr>
        <w:t xml:space="preserve"> </w:t>
      </w:r>
      <w:r>
        <w:rPr>
          <w:rFonts w:ascii="Palatino Linotype" w:eastAsia="Palatino Linotype" w:hAnsi="Palatino Linotype" w:cs="Palatino Linotype"/>
          <w:b/>
        </w:rPr>
        <w:t>Online Teaching Specialist</w:t>
      </w:r>
    </w:p>
    <w:p w14:paraId="0A37501D" w14:textId="77777777" w:rsidR="00E1351C" w:rsidRPr="00E1351C" w:rsidRDefault="00E1351C" w:rsidP="00E1351C">
      <w:pPr>
        <w:spacing w:line="240" w:lineRule="auto"/>
        <w:jc w:val="center"/>
        <w:rPr>
          <w:rFonts w:ascii="Palatino Linotype" w:eastAsia="Palatino Linotype" w:hAnsi="Palatino Linotype" w:cs="Palatino Linotype"/>
          <w:b/>
          <w:sz w:val="12"/>
          <w:szCs w:val="24"/>
        </w:rPr>
      </w:pPr>
    </w:p>
    <w:p w14:paraId="5ACEC8F0" w14:textId="77777777" w:rsidR="00E1351C" w:rsidRPr="0058200E" w:rsidRDefault="00E1351C" w:rsidP="00E1351C">
      <w:pPr>
        <w:spacing w:line="240" w:lineRule="auto"/>
        <w:rPr>
          <w:rFonts w:ascii="Palatino Linotype" w:eastAsia="Palatino Linotype" w:hAnsi="Palatino Linotype" w:cs="Palatino Linotype"/>
          <w:b/>
        </w:rPr>
      </w:pPr>
      <w:r w:rsidRPr="00E1351C">
        <w:rPr>
          <w:rFonts w:ascii="Palatino Linotype" w:hAnsi="Palatino Linotype"/>
          <w:iCs/>
        </w:rPr>
        <w:t>The holder is authorized to teach students from a distance who are enrolled in online coursework. This endorsement is an add-on endorsement only and is limited to holders of PK-12 endorsements whose employment is considered teaching experience. The holder's area of online instruction and instructional level shall be indicated on the endorsement.</w:t>
      </w:r>
    </w:p>
    <w:p w14:paraId="5DAB6C7B" w14:textId="77777777" w:rsidR="00E1351C" w:rsidRPr="0058200E" w:rsidRDefault="00E1351C" w:rsidP="00E1351C">
      <w:pPr>
        <w:spacing w:line="240" w:lineRule="auto"/>
        <w:jc w:val="center"/>
        <w:rPr>
          <w:rFonts w:ascii="Palatino Linotype" w:eastAsia="Palatino Linotype" w:hAnsi="Palatino Linotype" w:cs="Palatino Linotype"/>
          <w:b/>
        </w:rPr>
      </w:pPr>
    </w:p>
    <w:p w14:paraId="1039471D" w14:textId="77777777" w:rsidR="00E1351C" w:rsidRPr="0058200E" w:rsidRDefault="00E1351C" w:rsidP="00E1351C">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02EB378F" w14:textId="77777777" w:rsidR="00E1351C" w:rsidRPr="0058200E" w:rsidRDefault="00E1351C" w:rsidP="00E1351C">
      <w:pPr>
        <w:spacing w:line="240" w:lineRule="auto"/>
        <w:jc w:val="center"/>
        <w:rPr>
          <w:rFonts w:ascii="Palatino Linotype" w:eastAsia="Palatino Linotype" w:hAnsi="Palatino Linotype" w:cs="Palatino Linotype"/>
        </w:rPr>
      </w:pPr>
    </w:p>
    <w:p w14:paraId="7526EBEB" w14:textId="77777777" w:rsidR="00E1351C" w:rsidRPr="0058200E" w:rsidRDefault="00EF5F9A" w:rsidP="00E1351C">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E1351C" w:rsidRPr="0058200E">
            <w:rPr>
              <w:rFonts w:ascii="Segoe UI Symbol" w:eastAsia="MS Gothic" w:hAnsi="Segoe UI Symbol" w:cs="Segoe UI Symbol"/>
              <w:b/>
            </w:rPr>
            <w:t>☐</w:t>
          </w:r>
        </w:sdtContent>
      </w:sdt>
      <w:r w:rsidR="00E1351C" w:rsidRPr="0058200E">
        <w:rPr>
          <w:rFonts w:ascii="Palatino Linotype" w:eastAsia="Times New Roman" w:hAnsi="Palatino Linotype" w:cs="Times New Roman"/>
          <w:b/>
        </w:rPr>
        <w:t xml:space="preserve"> Add Endorsement</w:t>
      </w:r>
      <w:r w:rsidR="00E1351C" w:rsidRPr="0058200E">
        <w:rPr>
          <w:rFonts w:ascii="Palatino Linotype" w:eastAsia="Times New Roman" w:hAnsi="Palatino Linotype" w:cs="Times New Roman"/>
          <w:b/>
        </w:rPr>
        <w:tab/>
      </w:r>
      <w:r w:rsidR="00E1351C" w:rsidRPr="0058200E">
        <w:rPr>
          <w:rFonts w:ascii="Palatino Linotype" w:eastAsia="Times New Roman" w:hAnsi="Palatino Linotype" w:cs="Times New Roman"/>
          <w:b/>
        </w:rPr>
        <w:tab/>
      </w:r>
      <w:r w:rsidR="00E1351C"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E1351C" w:rsidRPr="0058200E">
            <w:rPr>
              <w:rFonts w:ascii="Segoe UI Symbol" w:eastAsia="MS Gothic" w:hAnsi="Segoe UI Symbol" w:cs="Segoe UI Symbol"/>
              <w:b/>
            </w:rPr>
            <w:t>☐</w:t>
          </w:r>
        </w:sdtContent>
      </w:sdt>
      <w:r w:rsidR="00E1351C" w:rsidRPr="0058200E">
        <w:rPr>
          <w:rFonts w:ascii="Palatino Linotype" w:eastAsia="Times New Roman" w:hAnsi="Palatino Linotype" w:cs="Times New Roman"/>
          <w:b/>
        </w:rPr>
        <w:t xml:space="preserve"> Course Audit</w:t>
      </w:r>
    </w:p>
    <w:p w14:paraId="6A05A809" w14:textId="77777777" w:rsidR="00E1351C" w:rsidRPr="0058200E" w:rsidRDefault="00E1351C" w:rsidP="00E1351C">
      <w:pPr>
        <w:spacing w:line="240" w:lineRule="auto"/>
        <w:jc w:val="center"/>
        <w:rPr>
          <w:rFonts w:ascii="Palatino Linotype" w:eastAsia="Times New Roman" w:hAnsi="Palatino Linotype" w:cs="Times New Roman"/>
          <w:b/>
        </w:rPr>
      </w:pPr>
    </w:p>
    <w:p w14:paraId="0BD7893E" w14:textId="77777777" w:rsidR="00E1351C" w:rsidRPr="008655DA" w:rsidRDefault="00E1351C" w:rsidP="00E1351C">
      <w:pPr>
        <w:spacing w:line="240" w:lineRule="auto"/>
        <w:rPr>
          <w:rFonts w:ascii="Palatino Linotype" w:eastAsia="Palatino Linotype" w:hAnsi="Palatino Linotype" w:cs="Palatino Linotype"/>
        </w:rPr>
      </w:pPr>
      <w:r w:rsidRPr="008655DA">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1523203F" w14:textId="77777777" w:rsidR="00E1351C" w:rsidRPr="008655DA" w:rsidRDefault="00E1351C" w:rsidP="00E1351C">
      <w:pPr>
        <w:spacing w:line="240" w:lineRule="auto"/>
        <w:rPr>
          <w:rFonts w:ascii="Palatino Linotype" w:eastAsia="Palatino Linotype" w:hAnsi="Palatino Linotype" w:cs="Palatino Linotype"/>
        </w:rPr>
      </w:pPr>
      <w:r w:rsidRPr="008655DA">
        <w:rPr>
          <w:rFonts w:ascii="Palatino Linotype" w:eastAsia="Palatino Linotype" w:hAnsi="Palatino Linotype" w:cs="Palatino Linotype"/>
        </w:rPr>
        <w:t xml:space="preserve">For a full list of requirements, please consult the </w:t>
      </w:r>
      <w:hyperlink r:id="rId10" w:history="1">
        <w:r w:rsidRPr="008655DA">
          <w:rPr>
            <w:rStyle w:val="Hyperlink"/>
            <w:rFonts w:ascii="Palatino Linotype" w:eastAsia="Palatino Linotype" w:hAnsi="Palatino Linotype" w:cs="Palatino Linotype"/>
          </w:rPr>
          <w:t>Rules Governing the Licensing of Educators</w:t>
        </w:r>
      </w:hyperlink>
    </w:p>
    <w:tbl>
      <w:tblPr>
        <w:tblW w:w="99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855"/>
        <w:gridCol w:w="1455"/>
        <w:gridCol w:w="1680"/>
      </w:tblGrid>
      <w:tr w:rsidR="00850E5F" w14:paraId="7840EE19" w14:textId="77777777" w:rsidTr="708A81B4">
        <w:trPr>
          <w:jc w:val="center"/>
        </w:trPr>
        <w:tc>
          <w:tcPr>
            <w:tcW w:w="6855" w:type="dxa"/>
            <w:tcBorders>
              <w:bottom w:val="single" w:sz="4" w:space="0" w:color="000000" w:themeColor="text1"/>
            </w:tcBorders>
            <w:shd w:val="clear" w:color="auto" w:fill="CCCCCC"/>
          </w:tcPr>
          <w:p w14:paraId="291E35A2" w14:textId="77777777" w:rsidR="00850E5F" w:rsidRPr="005F699C" w:rsidRDefault="00850E5F"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Content</w:t>
            </w:r>
          </w:p>
          <w:p w14:paraId="78607F21" w14:textId="77777777" w:rsidR="00850E5F" w:rsidRDefault="00850E5F" w:rsidP="00354FDD">
            <w:pPr>
              <w:keepNext/>
              <w:spacing w:line="240" w:lineRule="auto"/>
              <w:jc w:val="center"/>
              <w:rPr>
                <w:rFonts w:ascii="Palatino Linotype" w:eastAsia="Palatino Linotype" w:hAnsi="Palatino Linotype" w:cs="Palatino Linotype"/>
                <w:b/>
              </w:rPr>
            </w:pPr>
            <w:r w:rsidRPr="005F699C">
              <w:rPr>
                <w:rFonts w:ascii="Palatino Linotype" w:eastAsia="Palatino Linotype" w:hAnsi="Palatino Linotype" w:cs="Palatino Linotype"/>
                <w:b/>
                <w:sz w:val="20"/>
                <w:szCs w:val="20"/>
              </w:rPr>
              <w:t xml:space="preserve"> Topic</w:t>
            </w:r>
          </w:p>
        </w:tc>
        <w:tc>
          <w:tcPr>
            <w:tcW w:w="1455" w:type="dxa"/>
            <w:tcBorders>
              <w:bottom w:val="single" w:sz="4" w:space="0" w:color="000000" w:themeColor="text1"/>
            </w:tcBorders>
            <w:shd w:val="clear" w:color="auto" w:fill="CCCCCC"/>
          </w:tcPr>
          <w:p w14:paraId="156FD93D" w14:textId="77777777" w:rsidR="00850E5F" w:rsidRPr="005F699C" w:rsidRDefault="00850E5F"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College/</w:t>
            </w:r>
          </w:p>
          <w:p w14:paraId="6FDA3865" w14:textId="77777777" w:rsidR="00850E5F" w:rsidRPr="005F699C" w:rsidRDefault="00850E5F" w:rsidP="00354FDD">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University</w:t>
            </w:r>
          </w:p>
        </w:tc>
        <w:tc>
          <w:tcPr>
            <w:tcW w:w="1680" w:type="dxa"/>
            <w:tcBorders>
              <w:bottom w:val="single" w:sz="4" w:space="0" w:color="000000" w:themeColor="text1"/>
            </w:tcBorders>
            <w:shd w:val="clear" w:color="auto" w:fill="CCCCCC"/>
          </w:tcPr>
          <w:p w14:paraId="36E5840A" w14:textId="77777777" w:rsidR="00850E5F" w:rsidRPr="005F699C" w:rsidRDefault="00850E5F" w:rsidP="00354FDD">
            <w:pPr>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Course</w:t>
            </w:r>
          </w:p>
          <w:p w14:paraId="15F94F2D" w14:textId="61BD1A5C" w:rsidR="00850E5F" w:rsidRPr="005F699C" w:rsidRDefault="132EB6FA" w:rsidP="708A81B4">
            <w:pPr>
              <w:spacing w:line="240" w:lineRule="auto"/>
              <w:jc w:val="center"/>
              <w:rPr>
                <w:rFonts w:ascii="Palatino Linotype" w:eastAsia="Palatino Linotype" w:hAnsi="Palatino Linotype" w:cs="Palatino Linotype"/>
                <w:b/>
                <w:bCs/>
                <w:sz w:val="20"/>
                <w:szCs w:val="20"/>
              </w:rPr>
            </w:pPr>
            <w:r w:rsidRPr="708A81B4">
              <w:rPr>
                <w:rFonts w:ascii="Palatino Linotype" w:eastAsia="Palatino Linotype" w:hAnsi="Palatino Linotype" w:cs="Palatino Linotype"/>
                <w:b/>
                <w:bCs/>
                <w:sz w:val="20"/>
                <w:szCs w:val="20"/>
              </w:rPr>
              <w:t>Name/</w:t>
            </w:r>
            <w:r w:rsidR="00850E5F" w:rsidRPr="708A81B4">
              <w:rPr>
                <w:rFonts w:ascii="Palatino Linotype" w:eastAsia="Palatino Linotype" w:hAnsi="Palatino Linotype" w:cs="Palatino Linotype"/>
                <w:b/>
                <w:bCs/>
                <w:sz w:val="20"/>
                <w:szCs w:val="20"/>
              </w:rPr>
              <w:t>Number</w:t>
            </w:r>
          </w:p>
        </w:tc>
      </w:tr>
      <w:tr w:rsidR="00850E5F" w14:paraId="41360AE7" w14:textId="77777777" w:rsidTr="708A81B4">
        <w:trPr>
          <w:jc w:val="center"/>
        </w:trPr>
        <w:tc>
          <w:tcPr>
            <w:tcW w:w="6855" w:type="dxa"/>
          </w:tcPr>
          <w:p w14:paraId="24AEDD93" w14:textId="77777777" w:rsidR="003E32B7" w:rsidRDefault="003E32B7" w:rsidP="003E32B7">
            <w:pPr>
              <w:spacing w:line="240" w:lineRule="auto"/>
              <w:rPr>
                <w:rFonts w:ascii="Palatino Linotype" w:eastAsia="Palatino Linotype" w:hAnsi="Palatino Linotype" w:cs="Palatino Linotype"/>
                <w:b/>
              </w:rPr>
            </w:pPr>
            <w:r>
              <w:rPr>
                <w:rFonts w:ascii="Palatino Linotype" w:eastAsia="Palatino Linotype" w:hAnsi="Palatino Linotype" w:cs="Palatino Linotype"/>
                <w:b/>
              </w:rPr>
              <w:t xml:space="preserve">1. Knowledge Standards: </w:t>
            </w:r>
          </w:p>
          <w:p w14:paraId="2945357C" w14:textId="77777777" w:rsidR="003E32B7" w:rsidRDefault="003E32B7" w:rsidP="003E32B7">
            <w:pPr>
              <w:spacing w:line="240" w:lineRule="auto"/>
              <w:rPr>
                <w:rFonts w:ascii="Palatino Linotype" w:eastAsia="Palatino Linotype" w:hAnsi="Palatino Linotype" w:cs="Palatino Linotype"/>
                <w:b/>
              </w:rPr>
            </w:pPr>
            <w:r>
              <w:rPr>
                <w:rFonts w:ascii="Palatino Linotype" w:eastAsia="Palatino Linotype" w:hAnsi="Palatino Linotype" w:cs="Palatino Linotype"/>
                <w:b/>
              </w:rPr>
              <w:t>1.1 Demonstrates knowledge of how to plan, deliver, and evaluate online instruction as delineated in current national professional standards and as reflected in Vermont’s Framework of Standards. Specifically, the educator understands and/or knows:</w:t>
            </w:r>
          </w:p>
          <w:p w14:paraId="5A39BBE3" w14:textId="77777777" w:rsidR="00850E5F" w:rsidRDefault="00850E5F" w:rsidP="00354FDD">
            <w:pPr>
              <w:spacing w:line="240" w:lineRule="auto"/>
              <w:rPr>
                <w:rFonts w:ascii="Palatino Linotype" w:eastAsia="Palatino Linotype" w:hAnsi="Palatino Linotype" w:cs="Palatino Linotype"/>
              </w:rPr>
            </w:pPr>
          </w:p>
        </w:tc>
        <w:tc>
          <w:tcPr>
            <w:tcW w:w="1455" w:type="dxa"/>
          </w:tcPr>
          <w:p w14:paraId="41C8F396"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72A3D3EC" w14:textId="77777777" w:rsidR="00850E5F" w:rsidRDefault="00850E5F" w:rsidP="00354FDD">
            <w:pPr>
              <w:spacing w:line="240" w:lineRule="auto"/>
              <w:rPr>
                <w:rFonts w:ascii="Palatino Linotype" w:eastAsia="Palatino Linotype" w:hAnsi="Palatino Linotype" w:cs="Palatino Linotype"/>
                <w:b/>
              </w:rPr>
            </w:pPr>
          </w:p>
        </w:tc>
      </w:tr>
      <w:tr w:rsidR="00850E5F" w14:paraId="1B6875A6" w14:textId="77777777" w:rsidTr="708A81B4">
        <w:trPr>
          <w:trHeight w:val="720"/>
          <w:jc w:val="center"/>
        </w:trPr>
        <w:tc>
          <w:tcPr>
            <w:tcW w:w="6855" w:type="dxa"/>
          </w:tcPr>
          <w:p w14:paraId="4C00846C" w14:textId="77777777" w:rsidR="00850E5F" w:rsidRDefault="003E32B7" w:rsidP="00E1351C">
            <w:pPr>
              <w:spacing w:line="240" w:lineRule="auto"/>
              <w:rPr>
                <w:rFonts w:ascii="Palatino Linotype" w:eastAsia="Palatino Linotype" w:hAnsi="Palatino Linotype" w:cs="Palatino Linotype"/>
              </w:rPr>
            </w:pPr>
            <w:r>
              <w:rPr>
                <w:rFonts w:ascii="Palatino Linotype" w:eastAsia="Palatino Linotype" w:hAnsi="Palatino Linotype" w:cs="Palatino Linotype"/>
              </w:rPr>
              <w:t>1.2</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Central concepts – central concepts and current and developing theories that are central to the field of online teaching and learning.</w:t>
            </w:r>
          </w:p>
        </w:tc>
        <w:tc>
          <w:tcPr>
            <w:tcW w:w="1455" w:type="dxa"/>
          </w:tcPr>
          <w:p w14:paraId="44EAFD9C"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4B94D5A5" w14:textId="77777777" w:rsidR="00850E5F" w:rsidRDefault="00850E5F" w:rsidP="00354FDD">
            <w:pPr>
              <w:spacing w:line="240" w:lineRule="auto"/>
              <w:rPr>
                <w:rFonts w:ascii="Palatino Linotype" w:eastAsia="Palatino Linotype" w:hAnsi="Palatino Linotype" w:cs="Palatino Linotype"/>
                <w:b/>
              </w:rPr>
            </w:pPr>
          </w:p>
        </w:tc>
      </w:tr>
      <w:tr w:rsidR="00850E5F" w14:paraId="54AC6766" w14:textId="77777777" w:rsidTr="708A81B4">
        <w:trPr>
          <w:jc w:val="center"/>
        </w:trPr>
        <w:tc>
          <w:tcPr>
            <w:tcW w:w="6855" w:type="dxa"/>
          </w:tcPr>
          <w:p w14:paraId="270A03BF" w14:textId="77777777" w:rsidR="00850E5F" w:rsidRDefault="003E32B7" w:rsidP="003E32B7">
            <w:pPr>
              <w:spacing w:line="240" w:lineRule="auto"/>
              <w:rPr>
                <w:rFonts w:ascii="Palatino Linotype" w:eastAsia="Palatino Linotype" w:hAnsi="Palatino Linotype" w:cs="Palatino Linotype"/>
              </w:rPr>
            </w:pPr>
            <w:r>
              <w:rPr>
                <w:rFonts w:ascii="Palatino Linotype" w:eastAsia="Palatino Linotype" w:hAnsi="Palatino Linotype" w:cs="Palatino Linotype"/>
              </w:rPr>
              <w:t>1.3</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Technology Skills- A continuum of technologies relevant to the online learning environment both existing and emerging, that effectively support student learning and engagement in the online environment</w:t>
            </w:r>
          </w:p>
        </w:tc>
        <w:tc>
          <w:tcPr>
            <w:tcW w:w="1455" w:type="dxa"/>
          </w:tcPr>
          <w:p w14:paraId="049F31CB"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53128261" w14:textId="77777777" w:rsidR="00850E5F" w:rsidRDefault="00850E5F" w:rsidP="00354FDD">
            <w:pPr>
              <w:spacing w:line="240" w:lineRule="auto"/>
              <w:rPr>
                <w:rFonts w:ascii="Palatino Linotype" w:eastAsia="Palatino Linotype" w:hAnsi="Palatino Linotype" w:cs="Palatino Linotype"/>
                <w:b/>
              </w:rPr>
            </w:pPr>
          </w:p>
        </w:tc>
      </w:tr>
      <w:tr w:rsidR="00850E5F" w14:paraId="639F9355" w14:textId="77777777" w:rsidTr="708A81B4">
        <w:trPr>
          <w:trHeight w:val="945"/>
          <w:jc w:val="center"/>
        </w:trPr>
        <w:tc>
          <w:tcPr>
            <w:tcW w:w="6855" w:type="dxa"/>
          </w:tcPr>
          <w:p w14:paraId="649B9922" w14:textId="77777777" w:rsidR="00850E5F" w:rsidRDefault="003E32B7" w:rsidP="00E1351C">
            <w:pPr>
              <w:spacing w:line="240" w:lineRule="auto"/>
              <w:rPr>
                <w:rFonts w:ascii="Palatino Linotype" w:eastAsia="Palatino Linotype" w:hAnsi="Palatino Linotype" w:cs="Palatino Linotype"/>
              </w:rPr>
            </w:pPr>
            <w:r>
              <w:rPr>
                <w:rFonts w:ascii="Palatino Linotype" w:eastAsia="Palatino Linotype" w:hAnsi="Palatino Linotype" w:cs="Palatino Linotype"/>
              </w:rPr>
              <w:t>1.4</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Teaching in an Online Environment- principles of effective online instruction and strategies that promote creativity and innovation in virtual environments</w:t>
            </w:r>
          </w:p>
        </w:tc>
        <w:tc>
          <w:tcPr>
            <w:tcW w:w="1455" w:type="dxa"/>
          </w:tcPr>
          <w:p w14:paraId="1299C43A"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4DDBEF00" w14:textId="77777777" w:rsidR="00850E5F" w:rsidRDefault="00850E5F" w:rsidP="00354FDD">
            <w:pPr>
              <w:spacing w:line="240" w:lineRule="auto"/>
              <w:rPr>
                <w:rFonts w:ascii="Palatino Linotype" w:eastAsia="Palatino Linotype" w:hAnsi="Palatino Linotype" w:cs="Palatino Linotype"/>
                <w:b/>
              </w:rPr>
            </w:pPr>
          </w:p>
        </w:tc>
      </w:tr>
      <w:tr w:rsidR="00850E5F" w14:paraId="00A8C242" w14:textId="77777777" w:rsidTr="708A81B4">
        <w:trPr>
          <w:trHeight w:val="675"/>
          <w:jc w:val="center"/>
        </w:trPr>
        <w:tc>
          <w:tcPr>
            <w:tcW w:w="6855" w:type="dxa"/>
          </w:tcPr>
          <w:p w14:paraId="13DB24D5" w14:textId="77777777" w:rsidR="00850E5F" w:rsidRDefault="003E32B7" w:rsidP="00E1351C">
            <w:pPr>
              <w:spacing w:line="240" w:lineRule="auto"/>
              <w:rPr>
                <w:rFonts w:eastAsia="Palatino Linotype"/>
              </w:rPr>
            </w:pPr>
            <w:r>
              <w:rPr>
                <w:rFonts w:ascii="Palatino Linotype" w:eastAsia="Palatino Linotype" w:hAnsi="Palatino Linotype" w:cs="Palatino Linotype"/>
              </w:rPr>
              <w:t>1.5</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Legal and Ethical Practice- Legal and ethical online behavior related to technology use</w:t>
            </w:r>
          </w:p>
        </w:tc>
        <w:tc>
          <w:tcPr>
            <w:tcW w:w="1455" w:type="dxa"/>
          </w:tcPr>
          <w:p w14:paraId="1FC39945" w14:textId="77777777" w:rsidR="00850E5F" w:rsidRDefault="00850E5F" w:rsidP="00354FDD">
            <w:pPr>
              <w:keepNext/>
              <w:spacing w:line="240" w:lineRule="auto"/>
              <w:rPr>
                <w:rFonts w:ascii="Palatino Linotype" w:eastAsia="Palatino Linotype" w:hAnsi="Palatino Linotype" w:cs="Palatino Linotype"/>
              </w:rPr>
            </w:pPr>
          </w:p>
        </w:tc>
        <w:tc>
          <w:tcPr>
            <w:tcW w:w="1680" w:type="dxa"/>
          </w:tcPr>
          <w:p w14:paraId="0562CB0E" w14:textId="77777777" w:rsidR="00850E5F" w:rsidRDefault="00850E5F" w:rsidP="00354FDD">
            <w:pPr>
              <w:spacing w:line="240" w:lineRule="auto"/>
              <w:rPr>
                <w:rFonts w:ascii="Palatino Linotype" w:eastAsia="Palatino Linotype" w:hAnsi="Palatino Linotype" w:cs="Palatino Linotype"/>
              </w:rPr>
            </w:pPr>
          </w:p>
        </w:tc>
      </w:tr>
      <w:tr w:rsidR="00850E5F" w14:paraId="09D89943" w14:textId="77777777" w:rsidTr="708A81B4">
        <w:trPr>
          <w:jc w:val="center"/>
        </w:trPr>
        <w:tc>
          <w:tcPr>
            <w:tcW w:w="6855" w:type="dxa"/>
            <w:shd w:val="clear" w:color="auto" w:fill="auto"/>
          </w:tcPr>
          <w:p w14:paraId="2AA0E041" w14:textId="77777777" w:rsidR="00850E5F" w:rsidRPr="005F699C" w:rsidRDefault="003E32B7" w:rsidP="00E1351C">
            <w:pPr>
              <w:spacing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rPr>
              <w:t>1.6</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Accommodating Students with Special Needs- Legal mandates stipulated by Americans with Disabilities Act (ADA), the Individuals with Disabilities Education Act (IDEA), and Section 508 requirements for accessibility including how to adapt curriculum, </w:t>
            </w:r>
            <w:r>
              <w:rPr>
                <w:rFonts w:ascii="Palatino Linotype" w:eastAsia="Palatino Linotype" w:hAnsi="Palatino Linotype" w:cs="Palatino Linotype"/>
              </w:rPr>
              <w:lastRenderedPageBreak/>
              <w:t>instruction, and assessments to accommodate students with special needs in the online environment</w:t>
            </w:r>
          </w:p>
        </w:tc>
        <w:tc>
          <w:tcPr>
            <w:tcW w:w="1455" w:type="dxa"/>
            <w:shd w:val="clear" w:color="auto" w:fill="auto"/>
          </w:tcPr>
          <w:p w14:paraId="2946DB82" w14:textId="77777777" w:rsidR="00850E5F" w:rsidRPr="005F699C" w:rsidRDefault="00850E5F" w:rsidP="00354FDD">
            <w:pPr>
              <w:keepNext/>
              <w:spacing w:line="240" w:lineRule="auto"/>
              <w:jc w:val="center"/>
              <w:rPr>
                <w:rFonts w:ascii="Palatino Linotype" w:eastAsia="Palatino Linotype" w:hAnsi="Palatino Linotype" w:cs="Palatino Linotype"/>
                <w:b/>
                <w:sz w:val="20"/>
                <w:szCs w:val="20"/>
              </w:rPr>
            </w:pPr>
          </w:p>
        </w:tc>
        <w:tc>
          <w:tcPr>
            <w:tcW w:w="1680" w:type="dxa"/>
            <w:shd w:val="clear" w:color="auto" w:fill="auto"/>
          </w:tcPr>
          <w:p w14:paraId="5997CC1D" w14:textId="77777777" w:rsidR="00850E5F" w:rsidRPr="005F699C" w:rsidRDefault="00850E5F" w:rsidP="00354FDD">
            <w:pPr>
              <w:spacing w:line="240" w:lineRule="auto"/>
              <w:jc w:val="center"/>
              <w:rPr>
                <w:rFonts w:ascii="Palatino Linotype" w:eastAsia="Palatino Linotype" w:hAnsi="Palatino Linotype" w:cs="Palatino Linotype"/>
                <w:b/>
                <w:sz w:val="20"/>
                <w:szCs w:val="20"/>
              </w:rPr>
            </w:pPr>
          </w:p>
        </w:tc>
      </w:tr>
      <w:tr w:rsidR="00850E5F" w14:paraId="33F610C8" w14:textId="77777777" w:rsidTr="708A81B4">
        <w:trPr>
          <w:trHeight w:val="140"/>
          <w:jc w:val="center"/>
        </w:trPr>
        <w:tc>
          <w:tcPr>
            <w:tcW w:w="6855" w:type="dxa"/>
          </w:tcPr>
          <w:p w14:paraId="2DD91BBE" w14:textId="77777777" w:rsidR="00850E5F" w:rsidRDefault="003E32B7" w:rsidP="00354FDD">
            <w:pPr>
              <w:spacing w:line="240" w:lineRule="auto"/>
              <w:rPr>
                <w:rFonts w:ascii="Palatino Linotype" w:eastAsia="Palatino Linotype" w:hAnsi="Palatino Linotype" w:cs="Palatino Linotype"/>
              </w:rPr>
            </w:pPr>
            <w:r>
              <w:rPr>
                <w:rFonts w:ascii="Palatino Linotype" w:eastAsia="Palatino Linotype" w:hAnsi="Palatino Linotype" w:cs="Palatino Linotype"/>
              </w:rPr>
              <w:t>1.7</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Online Assessments- How to design, develop, and implement online assessments to accurately measure student learning and how to evaluate relevant data</w:t>
            </w:r>
          </w:p>
        </w:tc>
        <w:tc>
          <w:tcPr>
            <w:tcW w:w="1455" w:type="dxa"/>
          </w:tcPr>
          <w:p w14:paraId="1F72F646"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08CE6F91" w14:textId="77777777" w:rsidR="00850E5F" w:rsidRDefault="00850E5F" w:rsidP="00354FDD">
            <w:pPr>
              <w:spacing w:line="240" w:lineRule="auto"/>
              <w:rPr>
                <w:rFonts w:ascii="Palatino Linotype" w:eastAsia="Palatino Linotype" w:hAnsi="Palatino Linotype" w:cs="Palatino Linotype"/>
                <w:b/>
              </w:rPr>
            </w:pPr>
          </w:p>
        </w:tc>
      </w:tr>
      <w:tr w:rsidR="00850E5F" w14:paraId="1E935C17" w14:textId="77777777" w:rsidTr="708A81B4">
        <w:trPr>
          <w:trHeight w:val="140"/>
          <w:jc w:val="center"/>
        </w:trPr>
        <w:tc>
          <w:tcPr>
            <w:tcW w:w="6855" w:type="dxa"/>
          </w:tcPr>
          <w:p w14:paraId="6BAA85C6" w14:textId="77777777" w:rsidR="003E32B7" w:rsidRDefault="003E32B7" w:rsidP="003E32B7">
            <w:pPr>
              <w:spacing w:line="240" w:lineRule="auto"/>
              <w:rPr>
                <w:rFonts w:ascii="Palatino Linotype" w:eastAsia="Palatino Linotype" w:hAnsi="Palatino Linotype" w:cs="Palatino Linotype"/>
                <w:b/>
              </w:rPr>
            </w:pPr>
            <w:r>
              <w:rPr>
                <w:rFonts w:ascii="Palatino Linotype" w:eastAsia="Palatino Linotype" w:hAnsi="Palatino Linotype" w:cs="Palatino Linotype"/>
                <w:b/>
              </w:rPr>
              <w:t xml:space="preserve">2. Performance Standards: </w:t>
            </w:r>
          </w:p>
          <w:p w14:paraId="5A796E81" w14:textId="77777777" w:rsidR="00850E5F" w:rsidRDefault="003E32B7" w:rsidP="708A81B4">
            <w:pPr>
              <w:spacing w:line="240" w:lineRule="auto"/>
              <w:rPr>
                <w:rFonts w:ascii="Palatino Linotype" w:eastAsia="Palatino Linotype" w:hAnsi="Palatino Linotype" w:cs="Palatino Linotype"/>
                <w:b/>
                <w:bCs/>
              </w:rPr>
            </w:pPr>
            <w:r w:rsidRPr="708A81B4">
              <w:rPr>
                <w:rFonts w:ascii="Palatino Linotype" w:eastAsia="Palatino Linotype" w:hAnsi="Palatino Linotype" w:cs="Palatino Linotype"/>
              </w:rPr>
              <w:t>2.1</w:t>
            </w:r>
            <w:r w:rsidR="00BE1E81" w:rsidRPr="708A81B4">
              <w:rPr>
                <w:rFonts w:ascii="Palatino Linotype" w:eastAsia="Palatino Linotype" w:hAnsi="Palatino Linotype" w:cs="Palatino Linotype"/>
              </w:rPr>
              <w:t>.</w:t>
            </w:r>
            <w:r w:rsidRPr="708A81B4">
              <w:rPr>
                <w:rFonts w:ascii="Palatino Linotype" w:eastAsia="Palatino Linotype" w:hAnsi="Palatino Linotype" w:cs="Palatino Linotype"/>
              </w:rPr>
              <w:t xml:space="preserve"> Implements a comprehensive, standards-based curriculum in subject area of educator’s endorsement that incorporates technology standards and enables students to acquire content knowledge and skills. Specifically, the educator:</w:t>
            </w:r>
          </w:p>
        </w:tc>
        <w:tc>
          <w:tcPr>
            <w:tcW w:w="1455" w:type="dxa"/>
          </w:tcPr>
          <w:p w14:paraId="52E56223"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07547A01" w14:textId="77777777" w:rsidR="00850E5F" w:rsidRDefault="00850E5F" w:rsidP="00354FDD">
            <w:pPr>
              <w:spacing w:line="240" w:lineRule="auto"/>
              <w:rPr>
                <w:rFonts w:ascii="Palatino Linotype" w:eastAsia="Palatino Linotype" w:hAnsi="Palatino Linotype" w:cs="Palatino Linotype"/>
                <w:b/>
              </w:rPr>
            </w:pPr>
          </w:p>
        </w:tc>
      </w:tr>
      <w:tr w:rsidR="00850E5F" w14:paraId="60F42219" w14:textId="77777777" w:rsidTr="708A81B4">
        <w:trPr>
          <w:trHeight w:val="140"/>
          <w:jc w:val="center"/>
        </w:trPr>
        <w:tc>
          <w:tcPr>
            <w:tcW w:w="6855" w:type="dxa"/>
          </w:tcPr>
          <w:p w14:paraId="19FBDFC5" w14:textId="77777777" w:rsidR="00850E5F" w:rsidRPr="00D77423" w:rsidRDefault="00D77423" w:rsidP="00354FDD">
            <w:pPr>
              <w:spacing w:line="240" w:lineRule="auto"/>
              <w:rPr>
                <w:rFonts w:ascii="Palatino Linotype" w:eastAsia="Palatino Linotype" w:hAnsi="Palatino Linotype" w:cs="Palatino Linotype"/>
              </w:rPr>
            </w:pPr>
            <w:r>
              <w:rPr>
                <w:rFonts w:ascii="Palatino Linotype" w:eastAsia="Palatino Linotype" w:hAnsi="Palatino Linotype" w:cs="Palatino Linotype"/>
              </w:rPr>
              <w:t>2.2</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Uses a range of technologies relevant to online learning environments to support student learning that are appropriate to students’ ages and abilities, such as multimedia, synchronous and asynchronous communication technologies, and Open Education Resources (OER)</w:t>
            </w:r>
          </w:p>
        </w:tc>
        <w:tc>
          <w:tcPr>
            <w:tcW w:w="1455" w:type="dxa"/>
          </w:tcPr>
          <w:p w14:paraId="6DFB9E20"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70DF9E56" w14:textId="77777777" w:rsidR="00850E5F" w:rsidRDefault="00850E5F" w:rsidP="00354FDD">
            <w:pPr>
              <w:spacing w:line="240" w:lineRule="auto"/>
              <w:rPr>
                <w:rFonts w:ascii="Palatino Linotype" w:eastAsia="Palatino Linotype" w:hAnsi="Palatino Linotype" w:cs="Palatino Linotype"/>
                <w:b/>
              </w:rPr>
            </w:pPr>
          </w:p>
        </w:tc>
      </w:tr>
      <w:tr w:rsidR="00850E5F" w14:paraId="30EEFE77" w14:textId="77777777" w:rsidTr="708A81B4">
        <w:trPr>
          <w:trHeight w:val="140"/>
          <w:jc w:val="center"/>
        </w:trPr>
        <w:tc>
          <w:tcPr>
            <w:tcW w:w="6855" w:type="dxa"/>
          </w:tcPr>
          <w:p w14:paraId="0079978B" w14:textId="77777777" w:rsidR="00850E5F" w:rsidRPr="00160600" w:rsidRDefault="00D77423" w:rsidP="00E1351C">
            <w:pPr>
              <w:spacing w:line="240" w:lineRule="auto"/>
              <w:rPr>
                <w:rFonts w:ascii="Palatino Linotype" w:eastAsia="Palatino Linotype" w:hAnsi="Palatino Linotype" w:cs="Palatino Linotype"/>
              </w:rPr>
            </w:pPr>
            <w:r>
              <w:rPr>
                <w:rFonts w:ascii="Palatino Linotype" w:eastAsia="Palatino Linotype" w:hAnsi="Palatino Linotype" w:cs="Palatino Linotype"/>
              </w:rPr>
              <w:t>2.3</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Establishes clear expectations, employs effective, prompt communication, and provides regular feedback to students in a variety of formats.</w:t>
            </w:r>
          </w:p>
        </w:tc>
        <w:tc>
          <w:tcPr>
            <w:tcW w:w="1455" w:type="dxa"/>
          </w:tcPr>
          <w:p w14:paraId="637805D2"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463F29E8" w14:textId="77777777" w:rsidR="00850E5F" w:rsidRDefault="00850E5F" w:rsidP="00354FDD">
            <w:pPr>
              <w:spacing w:line="240" w:lineRule="auto"/>
              <w:rPr>
                <w:rFonts w:ascii="Palatino Linotype" w:eastAsia="Palatino Linotype" w:hAnsi="Palatino Linotype" w:cs="Palatino Linotype"/>
                <w:b/>
              </w:rPr>
            </w:pPr>
          </w:p>
        </w:tc>
      </w:tr>
      <w:tr w:rsidR="00850E5F" w14:paraId="5FD22FB4" w14:textId="77777777" w:rsidTr="708A81B4">
        <w:trPr>
          <w:trHeight w:val="140"/>
          <w:jc w:val="center"/>
        </w:trPr>
        <w:tc>
          <w:tcPr>
            <w:tcW w:w="6855" w:type="dxa"/>
          </w:tcPr>
          <w:p w14:paraId="3EF75EF7" w14:textId="77777777" w:rsidR="00850E5F" w:rsidRPr="00D77423" w:rsidRDefault="00D77423" w:rsidP="00354FDD">
            <w:pPr>
              <w:spacing w:line="240" w:lineRule="auto"/>
              <w:rPr>
                <w:rFonts w:ascii="Palatino Linotype" w:eastAsia="Palatino Linotype" w:hAnsi="Palatino Linotype" w:cs="Palatino Linotype"/>
              </w:rPr>
            </w:pPr>
            <w:r>
              <w:rPr>
                <w:rFonts w:ascii="Palatino Linotype" w:eastAsia="Palatino Linotype" w:hAnsi="Palatino Linotype" w:cs="Palatino Linotype"/>
              </w:rPr>
              <w:t>2.4</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Creates personalized, online learning environments for students that encourage active learning, real- world application, participation, and collaboration including collecting and using student data from the learning management system to inform instructional improvements</w:t>
            </w:r>
          </w:p>
        </w:tc>
        <w:tc>
          <w:tcPr>
            <w:tcW w:w="1455" w:type="dxa"/>
          </w:tcPr>
          <w:p w14:paraId="61829076"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2BA226A1" w14:textId="77777777" w:rsidR="00850E5F" w:rsidRDefault="00850E5F" w:rsidP="00354FDD">
            <w:pPr>
              <w:spacing w:line="240" w:lineRule="auto"/>
              <w:rPr>
                <w:rFonts w:ascii="Palatino Linotype" w:eastAsia="Palatino Linotype" w:hAnsi="Palatino Linotype" w:cs="Palatino Linotype"/>
                <w:b/>
              </w:rPr>
            </w:pPr>
          </w:p>
        </w:tc>
      </w:tr>
      <w:tr w:rsidR="00850E5F" w14:paraId="7F7B584A" w14:textId="77777777" w:rsidTr="708A81B4">
        <w:trPr>
          <w:trHeight w:val="480"/>
          <w:jc w:val="center"/>
        </w:trPr>
        <w:tc>
          <w:tcPr>
            <w:tcW w:w="6855" w:type="dxa"/>
          </w:tcPr>
          <w:p w14:paraId="0A5BB6BD" w14:textId="77777777" w:rsidR="00850E5F" w:rsidRDefault="00D77423" w:rsidP="00354FDD">
            <w:pPr>
              <w:spacing w:line="240" w:lineRule="auto"/>
              <w:rPr>
                <w:rFonts w:ascii="Palatino Linotype" w:eastAsia="Palatino Linotype" w:hAnsi="Palatino Linotype" w:cs="Palatino Linotype"/>
              </w:rPr>
            </w:pPr>
            <w:r>
              <w:rPr>
                <w:rFonts w:ascii="Palatino Linotype" w:eastAsia="Palatino Linotype" w:hAnsi="Palatino Linotype" w:cs="Palatino Linotype"/>
              </w:rPr>
              <w:t>2.5</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Models and manages safe, legal, and ethical online behavior</w:t>
            </w:r>
          </w:p>
        </w:tc>
        <w:tc>
          <w:tcPr>
            <w:tcW w:w="1455" w:type="dxa"/>
          </w:tcPr>
          <w:p w14:paraId="2DBF0D7D"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6B62F1B3" w14:textId="77777777" w:rsidR="00850E5F" w:rsidRDefault="00850E5F" w:rsidP="00354FDD">
            <w:pPr>
              <w:spacing w:line="240" w:lineRule="auto"/>
              <w:rPr>
                <w:rFonts w:ascii="Palatino Linotype" w:eastAsia="Palatino Linotype" w:hAnsi="Palatino Linotype" w:cs="Palatino Linotype"/>
                <w:b/>
              </w:rPr>
            </w:pPr>
          </w:p>
        </w:tc>
      </w:tr>
      <w:tr w:rsidR="00850E5F" w14:paraId="0C4189A2" w14:textId="77777777" w:rsidTr="708A81B4">
        <w:trPr>
          <w:trHeight w:val="975"/>
          <w:jc w:val="center"/>
        </w:trPr>
        <w:tc>
          <w:tcPr>
            <w:tcW w:w="6855" w:type="dxa"/>
          </w:tcPr>
          <w:p w14:paraId="2C556B6B" w14:textId="77777777" w:rsidR="00850E5F" w:rsidRDefault="00D77423" w:rsidP="00D77423">
            <w:pPr>
              <w:spacing w:line="240" w:lineRule="auto"/>
              <w:rPr>
                <w:rFonts w:ascii="Palatino Linotype" w:eastAsia="Palatino Linotype" w:hAnsi="Palatino Linotype" w:cs="Palatino Linotype"/>
              </w:rPr>
            </w:pPr>
            <w:r>
              <w:rPr>
                <w:rFonts w:ascii="Palatino Linotype" w:eastAsia="Palatino Linotype" w:hAnsi="Palatino Linotype" w:cs="Palatino Linotype"/>
              </w:rPr>
              <w:t>2.6</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Adapts curriculum and instruction to meet diverse student needs in the online environment, including accommodating students with special needs</w:t>
            </w:r>
          </w:p>
        </w:tc>
        <w:tc>
          <w:tcPr>
            <w:tcW w:w="1455" w:type="dxa"/>
          </w:tcPr>
          <w:p w14:paraId="296FEF7D"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7194DBDC" w14:textId="77777777" w:rsidR="00850E5F" w:rsidRDefault="00850E5F" w:rsidP="00354FDD">
            <w:pPr>
              <w:spacing w:line="240" w:lineRule="auto"/>
              <w:rPr>
                <w:rFonts w:ascii="Palatino Linotype" w:eastAsia="Palatino Linotype" w:hAnsi="Palatino Linotype" w:cs="Palatino Linotype"/>
                <w:b/>
              </w:rPr>
            </w:pPr>
          </w:p>
        </w:tc>
      </w:tr>
      <w:tr w:rsidR="00850E5F" w14:paraId="779A7E36" w14:textId="77777777" w:rsidTr="708A81B4">
        <w:trPr>
          <w:trHeight w:val="140"/>
          <w:jc w:val="center"/>
        </w:trPr>
        <w:tc>
          <w:tcPr>
            <w:tcW w:w="6855" w:type="dxa"/>
          </w:tcPr>
          <w:p w14:paraId="4FDEC496" w14:textId="77777777" w:rsidR="00850E5F" w:rsidRPr="00B41990" w:rsidRDefault="00D77423" w:rsidP="00E1351C">
            <w:pPr>
              <w:spacing w:line="240" w:lineRule="auto"/>
              <w:rPr>
                <w:rFonts w:ascii="Palatino Linotype" w:eastAsia="Palatino Linotype" w:hAnsi="Palatino Linotype" w:cs="Palatino Linotype"/>
              </w:rPr>
            </w:pPr>
            <w:r>
              <w:rPr>
                <w:rFonts w:ascii="Palatino Linotype" w:eastAsia="Palatino Linotype" w:hAnsi="Palatino Linotype" w:cs="Palatino Linotype"/>
              </w:rPr>
              <w:t>2.7</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Organizes materials, instruction, and procedures to online meet standards-based and personalized learning goals</w:t>
            </w:r>
          </w:p>
        </w:tc>
        <w:tc>
          <w:tcPr>
            <w:tcW w:w="1455" w:type="dxa"/>
          </w:tcPr>
          <w:p w14:paraId="36FEB5B0"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30D7AA69" w14:textId="77777777" w:rsidR="00850E5F" w:rsidRDefault="00850E5F" w:rsidP="00354FDD">
            <w:pPr>
              <w:spacing w:line="240" w:lineRule="auto"/>
              <w:rPr>
                <w:rFonts w:ascii="Palatino Linotype" w:eastAsia="Palatino Linotype" w:hAnsi="Palatino Linotype" w:cs="Palatino Linotype"/>
                <w:b/>
              </w:rPr>
            </w:pPr>
          </w:p>
        </w:tc>
      </w:tr>
      <w:tr w:rsidR="00850E5F" w14:paraId="0C427156" w14:textId="77777777" w:rsidTr="708A81B4">
        <w:trPr>
          <w:trHeight w:val="140"/>
          <w:jc w:val="center"/>
        </w:trPr>
        <w:tc>
          <w:tcPr>
            <w:tcW w:w="6855" w:type="dxa"/>
          </w:tcPr>
          <w:p w14:paraId="2D005CF3" w14:textId="77777777" w:rsidR="00850E5F" w:rsidRDefault="00D77423" w:rsidP="00E1351C">
            <w:pPr>
              <w:spacing w:line="240" w:lineRule="auto"/>
              <w:rPr>
                <w:rFonts w:ascii="Palatino Linotype" w:eastAsia="Palatino Linotype" w:hAnsi="Palatino Linotype" w:cs="Palatino Linotype"/>
              </w:rPr>
            </w:pPr>
            <w:r>
              <w:rPr>
                <w:rFonts w:ascii="Palatino Linotype" w:eastAsia="Palatino Linotype" w:hAnsi="Palatino Linotype" w:cs="Palatino Linotype"/>
              </w:rPr>
              <w:t>2.8</w:t>
            </w:r>
            <w:r w:rsidR="00BE1E81">
              <w:rPr>
                <w:rFonts w:ascii="Palatino Linotype" w:eastAsia="Palatino Linotype" w:hAnsi="Palatino Linotype" w:cs="Palatino Linotype"/>
              </w:rPr>
              <w:t>.</w:t>
            </w:r>
            <w:r>
              <w:rPr>
                <w:rFonts w:ascii="Palatino Linotype" w:eastAsia="Palatino Linotype" w:hAnsi="Palatino Linotype" w:cs="Palatino Linotype"/>
              </w:rPr>
              <w:t xml:space="preserve"> Creates and implements a variety of assessments in online learning environments in ways that ensure academic integrity and that accurately demonstrate student learning</w:t>
            </w:r>
          </w:p>
        </w:tc>
        <w:tc>
          <w:tcPr>
            <w:tcW w:w="1455" w:type="dxa"/>
          </w:tcPr>
          <w:p w14:paraId="48A21919" w14:textId="77777777" w:rsidR="00850E5F" w:rsidRDefault="00850E5F" w:rsidP="00354FDD">
            <w:pPr>
              <w:keepNext/>
              <w:spacing w:line="240" w:lineRule="auto"/>
              <w:rPr>
                <w:rFonts w:ascii="Palatino Linotype" w:eastAsia="Palatino Linotype" w:hAnsi="Palatino Linotype" w:cs="Palatino Linotype"/>
                <w:b/>
              </w:rPr>
            </w:pPr>
          </w:p>
        </w:tc>
        <w:tc>
          <w:tcPr>
            <w:tcW w:w="1680" w:type="dxa"/>
          </w:tcPr>
          <w:p w14:paraId="6BD18F9B" w14:textId="77777777" w:rsidR="00850E5F" w:rsidRDefault="00850E5F" w:rsidP="00354FDD">
            <w:pPr>
              <w:spacing w:line="240" w:lineRule="auto"/>
              <w:rPr>
                <w:rFonts w:ascii="Palatino Linotype" w:eastAsia="Palatino Linotype" w:hAnsi="Palatino Linotype" w:cs="Palatino Linotype"/>
                <w:b/>
              </w:rPr>
            </w:pPr>
          </w:p>
        </w:tc>
      </w:tr>
      <w:tr w:rsidR="00BE1E81" w14:paraId="709FA86E" w14:textId="77777777" w:rsidTr="708A81B4">
        <w:trPr>
          <w:trHeight w:val="692"/>
          <w:jc w:val="center"/>
        </w:trPr>
        <w:tc>
          <w:tcPr>
            <w:tcW w:w="9990" w:type="dxa"/>
            <w:gridSpan w:val="3"/>
          </w:tcPr>
          <w:p w14:paraId="01385926" w14:textId="05026677" w:rsidR="00BE1E81" w:rsidRDefault="00BE1E81" w:rsidP="708A81B4">
            <w:pPr>
              <w:spacing w:line="240" w:lineRule="auto"/>
              <w:rPr>
                <w:rFonts w:ascii="Palatino Linotype" w:eastAsia="Palatino Linotype" w:hAnsi="Palatino Linotype" w:cs="Palatino Linotype"/>
                <w:b/>
                <w:bCs/>
              </w:rPr>
            </w:pPr>
            <w:r w:rsidRPr="708A81B4">
              <w:rPr>
                <w:rFonts w:ascii="Palatino Linotype" w:eastAsia="Palatino Linotype" w:hAnsi="Palatino Linotype" w:cs="Palatino Linotype"/>
              </w:rPr>
              <w:t>3. A minor, or the equivalent, in online instruction</w:t>
            </w:r>
            <w:r w:rsidR="22A3E045" w:rsidRPr="708A81B4">
              <w:rPr>
                <w:rFonts w:ascii="Palatino Linotype" w:eastAsia="Palatino Linotype" w:hAnsi="Palatino Linotype" w:cs="Palatino Linotype"/>
              </w:rPr>
              <w:t>,</w:t>
            </w:r>
            <w:r w:rsidRPr="708A81B4">
              <w:rPr>
                <w:rFonts w:ascii="Palatino Linotype" w:eastAsia="Palatino Linotype" w:hAnsi="Palatino Linotype" w:cs="Palatino Linotype"/>
              </w:rPr>
              <w:t xml:space="preserve"> half of which may come from the content endorsement area</w:t>
            </w:r>
          </w:p>
        </w:tc>
      </w:tr>
      <w:tr w:rsidR="00BE1E81" w14:paraId="54F2D735" w14:textId="77777777" w:rsidTr="708A81B4">
        <w:trPr>
          <w:trHeight w:val="998"/>
          <w:jc w:val="center"/>
        </w:trPr>
        <w:tc>
          <w:tcPr>
            <w:tcW w:w="9990" w:type="dxa"/>
            <w:gridSpan w:val="3"/>
          </w:tcPr>
          <w:p w14:paraId="7BF45CA6" w14:textId="77777777" w:rsidR="00BE1E81" w:rsidRDefault="00BE1E81" w:rsidP="00354FDD">
            <w:pPr>
              <w:spacing w:line="240" w:lineRule="auto"/>
              <w:rPr>
                <w:rFonts w:ascii="Palatino Linotype" w:eastAsia="Palatino Linotype" w:hAnsi="Palatino Linotype" w:cs="Palatino Linotype"/>
                <w:b/>
              </w:rPr>
            </w:pPr>
            <w:r>
              <w:rPr>
                <w:rFonts w:ascii="Palatino Linotype" w:eastAsia="Palatino Linotype" w:hAnsi="Palatino Linotype" w:cs="Palatino Linotype"/>
              </w:rPr>
              <w:t xml:space="preserve">4. </w:t>
            </w:r>
            <w:r w:rsidRPr="000C1F24">
              <w:rPr>
                <w:rFonts w:ascii="Palatino Linotype" w:eastAsia="Palatino Linotype" w:hAnsi="Palatino Linotype" w:cs="Palatino Linotype"/>
              </w:rPr>
              <w:t>A minimum of a practicum, or the equivalent, in online instruction in the area of the instructor’s teaching endorsement at the K-12 level.</w:t>
            </w:r>
          </w:p>
        </w:tc>
      </w:tr>
    </w:tbl>
    <w:p w14:paraId="16DEB4AB" w14:textId="77777777" w:rsidR="00850E5F" w:rsidRDefault="00850E5F" w:rsidP="00850E5F"/>
    <w:p w14:paraId="0AD9C6F4" w14:textId="77777777" w:rsidR="00850E5F" w:rsidRDefault="00850E5F" w:rsidP="00850E5F">
      <w:pPr>
        <w:spacing w:after="160" w:line="259" w:lineRule="auto"/>
      </w:pPr>
    </w:p>
    <w:p w14:paraId="4B1F511A" w14:textId="77777777" w:rsidR="001B5A06" w:rsidRPr="00850E5F" w:rsidRDefault="00EF5F9A" w:rsidP="00850E5F"/>
    <w:sectPr w:rsidR="001B5A06" w:rsidRPr="00850E5F" w:rsidSect="00E1351C">
      <w:headerReference w:type="default" r:id="rId11"/>
      <w:footerReference w:type="default" r:id="rId12"/>
      <w:pgSz w:w="12240" w:h="15840"/>
      <w:pgMar w:top="1440" w:right="1080" w:bottom="1440" w:left="1080" w:header="0" w:footer="1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75D1" w14:textId="77777777" w:rsidR="00250988" w:rsidRDefault="00250988" w:rsidP="00E1351C">
      <w:pPr>
        <w:spacing w:line="240" w:lineRule="auto"/>
      </w:pPr>
      <w:r>
        <w:separator/>
      </w:r>
    </w:p>
  </w:endnote>
  <w:endnote w:type="continuationSeparator" w:id="0">
    <w:p w14:paraId="664355AD" w14:textId="77777777" w:rsidR="00250988" w:rsidRDefault="00250988" w:rsidP="00E13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345"/>
      <w:gridCol w:w="3158"/>
      <w:gridCol w:w="3577"/>
    </w:tblGrid>
    <w:tr w:rsidR="00E1351C" w:rsidRPr="00714D7B" w14:paraId="1A173F47" w14:textId="77777777" w:rsidTr="708A81B4">
      <w:trPr>
        <w:trHeight w:val="633"/>
        <w:tblHeader/>
      </w:trPr>
      <w:tc>
        <w:tcPr>
          <w:tcW w:w="4808" w:type="dxa"/>
        </w:tcPr>
        <w:p w14:paraId="2A60235C" w14:textId="37F7C1AA" w:rsidR="00E1351C" w:rsidRPr="00714D7B" w:rsidRDefault="708A81B4" w:rsidP="00E1351C">
          <w:pPr>
            <w:rPr>
              <w:rFonts w:ascii="Palatino Linotype" w:hAnsi="Palatino Linotype"/>
              <w:sz w:val="18"/>
              <w:szCs w:val="18"/>
            </w:rPr>
          </w:pPr>
          <w:r w:rsidRPr="708A81B4">
            <w:rPr>
              <w:rFonts w:ascii="Palatino Linotype" w:hAnsi="Palatino Linotype"/>
              <w:sz w:val="18"/>
              <w:szCs w:val="18"/>
            </w:rPr>
            <w:t>Transcript Review Worksheet 10/7/21</w:t>
          </w:r>
        </w:p>
      </w:tc>
      <w:tc>
        <w:tcPr>
          <w:tcW w:w="4808" w:type="dxa"/>
        </w:tcPr>
        <w:p w14:paraId="067C93A7" w14:textId="77777777" w:rsidR="00E1351C" w:rsidRPr="00714D7B" w:rsidRDefault="00E1351C" w:rsidP="00E1351C">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sidRPr="00714D7B">
            <w:rPr>
              <w:rFonts w:ascii="Palatino Linotype" w:hAnsi="Palatino Linotype"/>
              <w:b/>
              <w:noProof/>
              <w:sz w:val="18"/>
              <w:szCs w:val="18"/>
            </w:rPr>
            <w:t>2</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sidRPr="00714D7B">
            <w:rPr>
              <w:rFonts w:ascii="Palatino Linotype" w:hAnsi="Palatino Linotype"/>
              <w:b/>
              <w:noProof/>
              <w:sz w:val="18"/>
              <w:szCs w:val="18"/>
            </w:rPr>
            <w:t>3</w:t>
          </w:r>
          <w:r w:rsidRPr="00714D7B">
            <w:rPr>
              <w:rFonts w:ascii="Palatino Linotype" w:hAnsi="Palatino Linotype"/>
              <w:b/>
              <w:noProof/>
              <w:sz w:val="18"/>
              <w:szCs w:val="18"/>
            </w:rPr>
            <w:fldChar w:fldCharType="end"/>
          </w:r>
        </w:p>
      </w:tc>
      <w:tc>
        <w:tcPr>
          <w:tcW w:w="4809" w:type="dxa"/>
        </w:tcPr>
        <w:p w14:paraId="44FB30F8" w14:textId="77777777" w:rsidR="00E1351C" w:rsidRPr="00714D7B" w:rsidRDefault="00E1351C" w:rsidP="00E1351C">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5A123D67" wp14:editId="08CA73AF">
                <wp:extent cx="920017" cy="230744"/>
                <wp:effectExtent l="0" t="0" r="0" b="0"/>
                <wp:docPr id="24" name="Picture 2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1DA6542E" w14:textId="77777777" w:rsidR="00E1351C" w:rsidRDefault="00E1351C" w:rsidP="00E13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5116" w14:textId="77777777" w:rsidR="00250988" w:rsidRDefault="00250988" w:rsidP="00E1351C">
      <w:pPr>
        <w:spacing w:line="240" w:lineRule="auto"/>
      </w:pPr>
      <w:r>
        <w:separator/>
      </w:r>
    </w:p>
  </w:footnote>
  <w:footnote w:type="continuationSeparator" w:id="0">
    <w:p w14:paraId="7DF4E37C" w14:textId="77777777" w:rsidR="00250988" w:rsidRDefault="00250988" w:rsidP="00E135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E1351C" w:rsidRDefault="00E1351C" w:rsidP="00E1351C">
    <w:pPr>
      <w:pStyle w:val="Header"/>
      <w:jc w:val="center"/>
    </w:pPr>
  </w:p>
  <w:p w14:paraId="5023141B" w14:textId="77777777" w:rsidR="00E1351C" w:rsidRDefault="00E1351C" w:rsidP="00E1351C">
    <w:pPr>
      <w:pStyle w:val="Header"/>
      <w:jc w:val="center"/>
    </w:pPr>
    <w:r>
      <w:rPr>
        <w:noProof/>
      </w:rPr>
      <w:drawing>
        <wp:inline distT="0" distB="0" distL="0" distR="0" wp14:anchorId="293E4906" wp14:editId="55842B9E">
          <wp:extent cx="1614621" cy="550321"/>
          <wp:effectExtent l="0" t="0" r="5080" b="2540"/>
          <wp:docPr id="23" name="Picture 2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0462B620" w14:textId="295A50DE" w:rsidR="00E1351C" w:rsidRPr="004009A8" w:rsidRDefault="00E1351C" w:rsidP="00E1351C">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(p) 802-</w:t>
    </w:r>
    <w:r w:rsidR="00EF5F9A">
      <w:rPr>
        <w:rFonts w:ascii="Palatino Linotype" w:hAnsi="Palatino Linotype"/>
      </w:rPr>
      <w:t>828-3440</w:t>
    </w:r>
    <w:r w:rsidRPr="004009A8">
      <w:rPr>
        <w:rFonts w:ascii="Palatino Linotype" w:hAnsi="Palatino Linotype"/>
      </w:rPr>
      <w:t xml:space="preserve"> | (f) 802-</w:t>
    </w:r>
    <w:r w:rsidR="00EF5F9A">
      <w:rPr>
        <w:rFonts w:ascii="Palatino Linotype" w:hAnsi="Palatino Linotype"/>
      </w:rPr>
      <w:t>828-6433</w:t>
    </w:r>
  </w:p>
  <w:p w14:paraId="1F3B1409" w14:textId="77777777" w:rsidR="00E1351C" w:rsidRDefault="00E1351C" w:rsidP="00E135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4F94"/>
    <w:multiLevelType w:val="multilevel"/>
    <w:tmpl w:val="32D09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5F"/>
    <w:rsid w:val="001A2200"/>
    <w:rsid w:val="00250988"/>
    <w:rsid w:val="003E32B7"/>
    <w:rsid w:val="0057011C"/>
    <w:rsid w:val="006516E9"/>
    <w:rsid w:val="007458C3"/>
    <w:rsid w:val="0076727B"/>
    <w:rsid w:val="00850E5F"/>
    <w:rsid w:val="00BE1E81"/>
    <w:rsid w:val="00C84E18"/>
    <w:rsid w:val="00CE5C85"/>
    <w:rsid w:val="00D77423"/>
    <w:rsid w:val="00E1351C"/>
    <w:rsid w:val="00EF5F9A"/>
    <w:rsid w:val="00F17651"/>
    <w:rsid w:val="0BD21D4F"/>
    <w:rsid w:val="132EB6FA"/>
    <w:rsid w:val="22A3E045"/>
    <w:rsid w:val="3ED6A929"/>
    <w:rsid w:val="55F2E10E"/>
    <w:rsid w:val="708A81B4"/>
    <w:rsid w:val="787C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6F573"/>
  <w15:chartTrackingRefBased/>
  <w15:docId w15:val="{37434193-1869-4A2A-A023-99448336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5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E5F"/>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E1351C"/>
    <w:rPr>
      <w:color w:val="0563C1" w:themeColor="hyperlink"/>
      <w:u w:val="single"/>
    </w:rPr>
  </w:style>
  <w:style w:type="paragraph" w:styleId="Header">
    <w:name w:val="header"/>
    <w:basedOn w:val="Normal"/>
    <w:link w:val="HeaderChar"/>
    <w:uiPriority w:val="99"/>
    <w:unhideWhenUsed/>
    <w:rsid w:val="00E1351C"/>
    <w:pPr>
      <w:tabs>
        <w:tab w:val="center" w:pos="4680"/>
        <w:tab w:val="right" w:pos="9360"/>
      </w:tabs>
      <w:spacing w:line="240" w:lineRule="auto"/>
    </w:pPr>
  </w:style>
  <w:style w:type="character" w:customStyle="1" w:styleId="HeaderChar">
    <w:name w:val="Header Char"/>
    <w:basedOn w:val="DefaultParagraphFont"/>
    <w:link w:val="Header"/>
    <w:uiPriority w:val="99"/>
    <w:rsid w:val="00E1351C"/>
    <w:rPr>
      <w:rFonts w:ascii="Arial" w:eastAsia="Arial" w:hAnsi="Arial" w:cs="Arial"/>
      <w:lang w:val="en"/>
    </w:rPr>
  </w:style>
  <w:style w:type="paragraph" w:styleId="Footer">
    <w:name w:val="footer"/>
    <w:basedOn w:val="Normal"/>
    <w:link w:val="FooterChar"/>
    <w:uiPriority w:val="99"/>
    <w:unhideWhenUsed/>
    <w:rsid w:val="00E1351C"/>
    <w:pPr>
      <w:tabs>
        <w:tab w:val="center" w:pos="4680"/>
        <w:tab w:val="right" w:pos="9360"/>
      </w:tabs>
      <w:spacing w:line="240" w:lineRule="auto"/>
    </w:pPr>
  </w:style>
  <w:style w:type="character" w:customStyle="1" w:styleId="FooterChar">
    <w:name w:val="Footer Char"/>
    <w:basedOn w:val="DefaultParagraphFont"/>
    <w:link w:val="Footer"/>
    <w:uiPriority w:val="99"/>
    <w:rsid w:val="00E1351C"/>
    <w:rPr>
      <w:rFonts w:ascii="Arial" w:eastAsia="Arial" w:hAnsi="Arial" w:cs="Arial"/>
      <w:lang w:val="en"/>
    </w:rPr>
  </w:style>
  <w:style w:type="paragraph" w:customStyle="1" w:styleId="AOE-Header">
    <w:name w:val="AOE - Header"/>
    <w:basedOn w:val="Normal"/>
    <w:link w:val="AOE-HeaderChar"/>
    <w:rsid w:val="00E1351C"/>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E1351C"/>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E135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1C"/>
    <w:rPr>
      <w:rFonts w:ascii="Segoe UI" w:eastAsia="Arial" w:hAnsi="Segoe UI" w:cs="Segoe UI"/>
      <w:sz w:val="18"/>
      <w:szCs w:val="18"/>
      <w:lang w:val="en"/>
    </w:rPr>
  </w:style>
  <w:style w:type="table" w:styleId="TableGrid">
    <w:name w:val="Table Grid"/>
    <w:basedOn w:val="TableNormal"/>
    <w:uiPriority w:val="59"/>
    <w:rsid w:val="00E1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6" ma:contentTypeDescription="Create a new document." ma:contentTypeScope="" ma:versionID="a67f793dbda51413c5a348b868db76db">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6c7b525a8fe8652142e70f3b10e3514e"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3DFA5-7745-40F0-8246-925A88D6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E4FFC-09F6-4430-8987-75DB14C19928}">
  <ds:schemaRefs>
    <ds:schemaRef ds:uri="http://schemas.microsoft.com/office/2006/metadata/properties"/>
    <ds:schemaRef ds:uri="http://schemas.microsoft.com/office/infopath/2007/PartnerControls"/>
    <ds:schemaRef ds:uri="http://schemas.microsoft.com/sharepoint/v3"/>
    <ds:schemaRef ds:uri="6bdb113e-cf34-471a-9735-40a194d8c1e9"/>
    <ds:schemaRef ds:uri="4313ef7e-0b12-4a5b-a5a0-915a8c61ec10"/>
  </ds:schemaRefs>
</ds:datastoreItem>
</file>

<file path=customXml/itemProps3.xml><?xml version="1.0" encoding="utf-8"?>
<ds:datastoreItem xmlns:ds="http://schemas.openxmlformats.org/officeDocument/2006/customXml" ds:itemID="{42423F36-9C96-4038-A3B4-3420D50BA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4</cp:revision>
  <dcterms:created xsi:type="dcterms:W3CDTF">2020-08-04T20:31:00Z</dcterms:created>
  <dcterms:modified xsi:type="dcterms:W3CDTF">2022-09-01T15:37:00Z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y fmtid="{D5CDD505-2E9C-101B-9397-08002B2CF9AE}" pid="3" name="MediaServiceImageTags">
    <vt:lpwstr/>
  </property>
</Properties>
</file>