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0156" w14:textId="77777777" w:rsidR="00A4250E" w:rsidRPr="00A4250E" w:rsidRDefault="00A4250E" w:rsidP="00A4250E">
      <w:pPr>
        <w:jc w:val="center"/>
        <w:rPr>
          <w:rFonts w:cs="Times New Roman"/>
          <w:b/>
          <w:bCs w:val="0"/>
          <w:sz w:val="24"/>
          <w:szCs w:val="24"/>
          <w:u w:val="single"/>
        </w:rPr>
      </w:pPr>
      <w:r w:rsidRPr="00A4250E">
        <w:rPr>
          <w:rFonts w:cs="Times New Roman"/>
          <w:b/>
          <w:bCs w:val="0"/>
          <w:sz w:val="24"/>
          <w:szCs w:val="24"/>
          <w:u w:val="single"/>
        </w:rPr>
        <w:t>Transcript Review Worksheet</w:t>
      </w:r>
    </w:p>
    <w:p w14:paraId="71F6D021" w14:textId="77777777" w:rsidR="00A4250E" w:rsidRPr="00A4250E" w:rsidRDefault="00D90160" w:rsidP="00A4250E">
      <w:pPr>
        <w:keepNext/>
        <w:jc w:val="center"/>
        <w:outlineLvl w:val="8"/>
        <w:rPr>
          <w:rFonts w:cs="Times New Roman"/>
          <w:b/>
          <w:bCs w:val="0"/>
          <w:sz w:val="28"/>
          <w:szCs w:val="28"/>
        </w:rPr>
      </w:pPr>
      <w:r>
        <w:rPr>
          <w:rFonts w:cs="Times New Roman"/>
          <w:b/>
          <w:bCs w:val="0"/>
          <w:sz w:val="28"/>
          <w:szCs w:val="28"/>
        </w:rPr>
        <w:t xml:space="preserve">5440 - </w:t>
      </w:r>
      <w:r w:rsidR="00A4250E" w:rsidRPr="00A4250E">
        <w:rPr>
          <w:rFonts w:cs="Times New Roman"/>
          <w:b/>
          <w:bCs w:val="0"/>
          <w:sz w:val="28"/>
          <w:szCs w:val="28"/>
        </w:rPr>
        <w:t>11 – Mathematics</w:t>
      </w:r>
    </w:p>
    <w:p w14:paraId="7BAF5AD6" w14:textId="77777777" w:rsidR="00A4250E" w:rsidRPr="00D90160" w:rsidRDefault="00A4250E" w:rsidP="00A4250E">
      <w:pPr>
        <w:spacing w:before="120"/>
        <w:jc w:val="center"/>
        <w:rPr>
          <w:rFonts w:cs="Times New Roman"/>
          <w:bCs w:val="0"/>
          <w:iCs/>
          <w:sz w:val="24"/>
          <w:szCs w:val="24"/>
        </w:rPr>
      </w:pPr>
      <w:r w:rsidRPr="00D90160">
        <w:rPr>
          <w:rFonts w:cs="Times New Roman"/>
          <w:bCs w:val="0"/>
          <w:iCs/>
          <w:sz w:val="24"/>
          <w:szCs w:val="24"/>
        </w:rPr>
        <w:t>The holder is authorized to teach mathematics in grades 7-12.</w:t>
      </w:r>
    </w:p>
    <w:p w14:paraId="0A37501D" w14:textId="77777777" w:rsidR="00A4250E" w:rsidRPr="00D90160" w:rsidRDefault="00A4250E" w:rsidP="00A4250E">
      <w:pPr>
        <w:rPr>
          <w:rFonts w:cs="Times New Roman"/>
          <w:b/>
          <w:bCs w:val="0"/>
          <w:iCs/>
          <w:sz w:val="16"/>
          <w:szCs w:val="16"/>
        </w:rPr>
      </w:pPr>
    </w:p>
    <w:p w14:paraId="1039471D" w14:textId="77777777" w:rsidR="00D90160" w:rsidRPr="0058200E" w:rsidRDefault="00D90160" w:rsidP="00863DED">
      <w:pPr>
        <w:jc w:val="center"/>
        <w:rPr>
          <w:rFonts w:eastAsia="Palatino Linotype" w:cs="Palatino Linotype"/>
          <w:b/>
        </w:rPr>
      </w:pPr>
      <w:r w:rsidRPr="0058200E">
        <w:rPr>
          <w:rFonts w:eastAsia="Palatino Linotype" w:cs="Palatino Linotype"/>
          <w:b/>
        </w:rPr>
        <w:t>Name:  __________________________________ Educator ID#: ______________________</w:t>
      </w:r>
    </w:p>
    <w:p w14:paraId="5DAB6C7B" w14:textId="77777777" w:rsidR="00D90160" w:rsidRPr="0058200E" w:rsidRDefault="00D90160" w:rsidP="00863DED">
      <w:pPr>
        <w:jc w:val="center"/>
        <w:rPr>
          <w:rFonts w:eastAsia="Palatino Linotype" w:cs="Palatino Linotype"/>
        </w:rPr>
      </w:pPr>
    </w:p>
    <w:p w14:paraId="7526EBEB" w14:textId="77777777" w:rsidR="00D90160" w:rsidRPr="0058200E" w:rsidRDefault="00CB4229" w:rsidP="00863DED">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EndPr/>
        <w:sdtContent>
          <w:r w:rsidR="00D90160" w:rsidRPr="0058200E">
            <w:rPr>
              <w:rFonts w:ascii="Segoe UI Symbol" w:eastAsia="MS Gothic" w:hAnsi="Segoe UI Symbol" w:cs="Segoe UI Symbol"/>
              <w:b/>
            </w:rPr>
            <w:t>☐</w:t>
          </w:r>
        </w:sdtContent>
      </w:sdt>
      <w:r w:rsidR="00D90160" w:rsidRPr="0058200E">
        <w:rPr>
          <w:rFonts w:cs="Times New Roman"/>
          <w:b/>
        </w:rPr>
        <w:t xml:space="preserve"> Add Endorsement</w:t>
      </w:r>
      <w:r w:rsidR="00D90160" w:rsidRPr="0058200E">
        <w:rPr>
          <w:rFonts w:cs="Times New Roman"/>
          <w:b/>
        </w:rPr>
        <w:tab/>
      </w:r>
      <w:r w:rsidR="00D90160" w:rsidRPr="0058200E">
        <w:rPr>
          <w:rFonts w:cs="Times New Roman"/>
          <w:b/>
        </w:rPr>
        <w:tab/>
      </w:r>
      <w:r w:rsidR="00D90160" w:rsidRPr="0058200E">
        <w:rPr>
          <w:rFonts w:cs="Times New Roman"/>
          <w:b/>
        </w:rPr>
        <w:tab/>
      </w:r>
      <w:sdt>
        <w:sdtPr>
          <w:rPr>
            <w:rFonts w:cs="Times New Roman"/>
            <w:b/>
          </w:rPr>
          <w:id w:val="164519261"/>
          <w14:checkbox>
            <w14:checked w14:val="0"/>
            <w14:checkedState w14:val="2612" w14:font="MS Gothic"/>
            <w14:uncheckedState w14:val="2610" w14:font="MS Gothic"/>
          </w14:checkbox>
        </w:sdtPr>
        <w:sdtEndPr/>
        <w:sdtContent>
          <w:r w:rsidR="00D90160" w:rsidRPr="0058200E">
            <w:rPr>
              <w:rFonts w:ascii="Segoe UI Symbol" w:eastAsia="MS Gothic" w:hAnsi="Segoe UI Symbol" w:cs="Segoe UI Symbol"/>
              <w:b/>
            </w:rPr>
            <w:t>☐</w:t>
          </w:r>
        </w:sdtContent>
      </w:sdt>
      <w:r w:rsidR="00D90160" w:rsidRPr="0058200E">
        <w:rPr>
          <w:rFonts w:cs="Times New Roman"/>
          <w:b/>
        </w:rPr>
        <w:t xml:space="preserve"> Course Audit</w:t>
      </w:r>
    </w:p>
    <w:p w14:paraId="02EB378F" w14:textId="77777777" w:rsidR="00D90160" w:rsidRPr="0058200E" w:rsidRDefault="00D90160" w:rsidP="00863DED">
      <w:pPr>
        <w:jc w:val="center"/>
        <w:rPr>
          <w:rFonts w:cs="Times New Roman"/>
          <w:b/>
        </w:rPr>
      </w:pPr>
    </w:p>
    <w:p w14:paraId="0BD7893E" w14:textId="77777777" w:rsidR="00D90160" w:rsidRPr="008655DA" w:rsidRDefault="00D90160" w:rsidP="00863DED">
      <w:pPr>
        <w:rPr>
          <w:rFonts w:eastAsia="Palatino Linotype" w:cs="Palatino Linotype"/>
        </w:rPr>
      </w:pPr>
      <w:r w:rsidRPr="008655DA">
        <w:rPr>
          <w:rFonts w:eastAsia="Palatino Linotype" w:cs="Palatino Linotype"/>
        </w:rPr>
        <w:t xml:space="preserve">Please note that the transcript review worksheets indicate only the endorsement competencies that must be met. There may be additional jurisdictional requirements. </w:t>
      </w:r>
    </w:p>
    <w:p w14:paraId="1523203F" w14:textId="77777777" w:rsidR="00D90160" w:rsidRPr="00CF62EF" w:rsidRDefault="00D90160" w:rsidP="00D90160">
      <w:pPr>
        <w:rPr>
          <w:rFonts w:eastAsia="Palatino Linotype" w:cs="Palatino Linotype"/>
        </w:rPr>
      </w:pPr>
      <w:r w:rsidRPr="008655DA">
        <w:rPr>
          <w:rFonts w:eastAsia="Palatino Linotype" w:cs="Palatino Linotype"/>
        </w:rPr>
        <w:t xml:space="preserve">For a full list of requirements, please consult the </w:t>
      </w:r>
      <w:hyperlink r:id="rId11" w:history="1">
        <w:r w:rsidRPr="008655DA">
          <w:rPr>
            <w:rStyle w:val="Hyperlink"/>
            <w:rFonts w:eastAsia="Palatino Linotype" w:cs="Palatino Linotype"/>
          </w:rPr>
          <w:t>Rules Governing the Licensing of Educators</w:t>
        </w:r>
      </w:hyperlink>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5"/>
        <w:gridCol w:w="1830"/>
        <w:gridCol w:w="1848"/>
      </w:tblGrid>
      <w:tr w:rsidR="004E6955" w:rsidRPr="00A4250E" w14:paraId="4430C825" w14:textId="77777777" w:rsidTr="35AD863C">
        <w:trPr>
          <w:tblHeader/>
          <w:jc w:val="center"/>
        </w:trPr>
        <w:tc>
          <w:tcPr>
            <w:tcW w:w="6465" w:type="dxa"/>
            <w:tcBorders>
              <w:bottom w:val="nil"/>
            </w:tcBorders>
            <w:shd w:val="clear" w:color="auto" w:fill="FFFFFF" w:themeFill="background1"/>
          </w:tcPr>
          <w:p w14:paraId="291E35A2" w14:textId="77777777" w:rsidR="004E6955" w:rsidRPr="00A4250E" w:rsidRDefault="004E6955" w:rsidP="00A4250E">
            <w:pPr>
              <w:keepNext/>
              <w:jc w:val="center"/>
              <w:outlineLvl w:val="5"/>
              <w:rPr>
                <w:rFonts w:cs="Times New Roman"/>
                <w:b/>
                <w:bCs w:val="0"/>
              </w:rPr>
            </w:pPr>
            <w:r w:rsidRPr="00A4250E">
              <w:rPr>
                <w:rFonts w:cs="Times New Roman"/>
                <w:b/>
                <w:bCs w:val="0"/>
              </w:rPr>
              <w:t>Content</w:t>
            </w:r>
          </w:p>
          <w:p w14:paraId="78607F21" w14:textId="77777777" w:rsidR="004E6955" w:rsidRPr="00A4250E" w:rsidRDefault="004E6955" w:rsidP="00A4250E">
            <w:pPr>
              <w:keepNext/>
              <w:jc w:val="center"/>
              <w:outlineLvl w:val="5"/>
              <w:rPr>
                <w:rFonts w:cs="Times New Roman"/>
                <w:b/>
                <w:bCs w:val="0"/>
              </w:rPr>
            </w:pPr>
            <w:r w:rsidRPr="00A4250E">
              <w:rPr>
                <w:rFonts w:cs="Times New Roman"/>
                <w:b/>
                <w:bCs w:val="0"/>
              </w:rPr>
              <w:t xml:space="preserve"> Topic</w:t>
            </w:r>
          </w:p>
        </w:tc>
        <w:tc>
          <w:tcPr>
            <w:tcW w:w="1830" w:type="dxa"/>
            <w:tcBorders>
              <w:bottom w:val="nil"/>
            </w:tcBorders>
            <w:shd w:val="clear" w:color="auto" w:fill="FFFFFF" w:themeFill="background1"/>
          </w:tcPr>
          <w:p w14:paraId="156FD93D" w14:textId="77777777" w:rsidR="004E6955" w:rsidRPr="00A4250E" w:rsidRDefault="004E6955" w:rsidP="00A4250E">
            <w:pPr>
              <w:keepNext/>
              <w:jc w:val="center"/>
              <w:outlineLvl w:val="5"/>
              <w:rPr>
                <w:rFonts w:cs="Times New Roman"/>
                <w:b/>
                <w:bCs w:val="0"/>
              </w:rPr>
            </w:pPr>
            <w:r w:rsidRPr="00A4250E">
              <w:rPr>
                <w:rFonts w:cs="Times New Roman"/>
                <w:b/>
                <w:bCs w:val="0"/>
              </w:rPr>
              <w:t>College/</w:t>
            </w:r>
          </w:p>
          <w:p w14:paraId="6FDA3865" w14:textId="77777777" w:rsidR="004E6955" w:rsidRPr="00A4250E" w:rsidRDefault="004E6955" w:rsidP="00A4250E">
            <w:pPr>
              <w:keepNext/>
              <w:jc w:val="center"/>
              <w:outlineLvl w:val="5"/>
              <w:rPr>
                <w:rFonts w:cs="Times New Roman"/>
                <w:b/>
                <w:bCs w:val="0"/>
              </w:rPr>
            </w:pPr>
            <w:r w:rsidRPr="00A4250E">
              <w:rPr>
                <w:rFonts w:cs="Times New Roman"/>
                <w:b/>
                <w:bCs w:val="0"/>
              </w:rPr>
              <w:t>University</w:t>
            </w:r>
          </w:p>
        </w:tc>
        <w:tc>
          <w:tcPr>
            <w:tcW w:w="1848" w:type="dxa"/>
            <w:tcBorders>
              <w:bottom w:val="nil"/>
            </w:tcBorders>
            <w:shd w:val="clear" w:color="auto" w:fill="FFFFFF" w:themeFill="background1"/>
          </w:tcPr>
          <w:p w14:paraId="36E5840A" w14:textId="77777777" w:rsidR="004E6955" w:rsidRPr="00A4250E" w:rsidRDefault="004E6955" w:rsidP="00A4250E">
            <w:pPr>
              <w:jc w:val="center"/>
              <w:rPr>
                <w:rFonts w:cs="Times New Roman"/>
                <w:b/>
                <w:bCs w:val="0"/>
              </w:rPr>
            </w:pPr>
            <w:r w:rsidRPr="00A4250E">
              <w:rPr>
                <w:rFonts w:cs="Times New Roman"/>
                <w:b/>
                <w:bCs w:val="0"/>
              </w:rPr>
              <w:t>Course</w:t>
            </w:r>
          </w:p>
          <w:p w14:paraId="15F94F2D" w14:textId="76312C01" w:rsidR="004E6955" w:rsidRPr="00A4250E" w:rsidRDefault="16CE73C2" w:rsidP="35AD863C">
            <w:pPr>
              <w:jc w:val="center"/>
              <w:rPr>
                <w:rFonts w:cs="Times New Roman"/>
                <w:b/>
              </w:rPr>
            </w:pPr>
            <w:r w:rsidRPr="35AD863C">
              <w:rPr>
                <w:rFonts w:cs="Times New Roman"/>
                <w:b/>
              </w:rPr>
              <w:t>Name/</w:t>
            </w:r>
            <w:r w:rsidR="004E6955" w:rsidRPr="35AD863C">
              <w:rPr>
                <w:rFonts w:cs="Times New Roman"/>
                <w:b/>
              </w:rPr>
              <w:t>Number</w:t>
            </w:r>
          </w:p>
        </w:tc>
      </w:tr>
      <w:tr w:rsidR="004E6955" w:rsidRPr="00A4250E" w14:paraId="6430A47B" w14:textId="77777777" w:rsidTr="35AD863C">
        <w:trPr>
          <w:trHeight w:val="665"/>
          <w:jc w:val="center"/>
        </w:trPr>
        <w:tc>
          <w:tcPr>
            <w:tcW w:w="6465" w:type="dxa"/>
            <w:tcBorders>
              <w:bottom w:val="single" w:sz="4" w:space="0" w:color="auto"/>
            </w:tcBorders>
            <w:shd w:val="clear" w:color="auto" w:fill="auto"/>
          </w:tcPr>
          <w:p w14:paraId="7EC28FE0" w14:textId="77777777" w:rsidR="004E6955" w:rsidRPr="00A4250E" w:rsidRDefault="004E6955" w:rsidP="00A4250E">
            <w:pPr>
              <w:autoSpaceDE w:val="0"/>
              <w:autoSpaceDN w:val="0"/>
              <w:adjustRightInd w:val="0"/>
              <w:rPr>
                <w:rFonts w:cs="Palatino Linotype"/>
                <w:bCs w:val="0"/>
                <w:color w:val="000000"/>
              </w:rPr>
            </w:pPr>
            <w:r w:rsidRPr="00A4250E">
              <w:rPr>
                <w:rFonts w:cs="Palatino Linotype"/>
                <w:b/>
                <w:color w:val="000000"/>
              </w:rPr>
              <w:t xml:space="preserve">1. </w:t>
            </w:r>
            <w:r w:rsidRPr="00A4250E">
              <w:rPr>
                <w:rFonts w:cs="Palatino Linotype"/>
                <w:bCs w:val="0"/>
                <w:color w:val="000000"/>
              </w:rPr>
              <w:t xml:space="preserve">Content Knowledge--Effective teachers of secondary mathematics know, understand, teach and communicate their mathematical knowledge with the breadth of understanding that reflects proficiency within and among the mathematical domains (Number, Algebra, Geometry, Trigonometry, Statistics, Probability, Calculus, and Discrete Mathematics) as outlined in the </w:t>
            </w:r>
            <w:r w:rsidRPr="00A4250E">
              <w:rPr>
                <w:rFonts w:cs="Palatino Linotype"/>
                <w:bCs w:val="0"/>
                <w:i/>
                <w:iCs/>
                <w:color w:val="000000"/>
              </w:rPr>
              <w:t>NCTM NCATE Mathematics Content for Secondary</w:t>
            </w:r>
            <w:r w:rsidRPr="00A4250E">
              <w:rPr>
                <w:rFonts w:cs="Palatino Linotype"/>
                <w:bCs w:val="0"/>
                <w:color w:val="000000"/>
              </w:rPr>
              <w:t xml:space="preserve">. </w:t>
            </w:r>
          </w:p>
        </w:tc>
        <w:tc>
          <w:tcPr>
            <w:tcW w:w="1830" w:type="dxa"/>
            <w:tcBorders>
              <w:bottom w:val="single" w:sz="4" w:space="0" w:color="auto"/>
            </w:tcBorders>
            <w:shd w:val="clear" w:color="auto" w:fill="auto"/>
          </w:tcPr>
          <w:p w14:paraId="6A05A809" w14:textId="77777777" w:rsidR="004E6955" w:rsidRPr="00A4250E" w:rsidRDefault="004E6955" w:rsidP="00A4250E">
            <w:pPr>
              <w:keepNext/>
              <w:outlineLvl w:val="5"/>
              <w:rPr>
                <w:rFonts w:cs="Times New Roman"/>
                <w:b/>
                <w:bCs w:val="0"/>
                <w:szCs w:val="20"/>
              </w:rPr>
            </w:pPr>
          </w:p>
        </w:tc>
        <w:tc>
          <w:tcPr>
            <w:tcW w:w="1848" w:type="dxa"/>
            <w:tcBorders>
              <w:bottom w:val="single" w:sz="4" w:space="0" w:color="auto"/>
            </w:tcBorders>
            <w:shd w:val="clear" w:color="auto" w:fill="auto"/>
          </w:tcPr>
          <w:p w14:paraId="5A39BBE3" w14:textId="77777777" w:rsidR="004E6955" w:rsidRPr="00A4250E" w:rsidRDefault="004E6955" w:rsidP="00A4250E">
            <w:pPr>
              <w:rPr>
                <w:rFonts w:cs="Times New Roman"/>
                <w:b/>
                <w:bCs w:val="0"/>
                <w:szCs w:val="20"/>
              </w:rPr>
            </w:pPr>
          </w:p>
        </w:tc>
      </w:tr>
      <w:tr w:rsidR="004E6955" w:rsidRPr="00A4250E" w14:paraId="6C56453F" w14:textId="77777777" w:rsidTr="35AD863C">
        <w:trPr>
          <w:trHeight w:val="665"/>
          <w:jc w:val="center"/>
        </w:trPr>
        <w:tc>
          <w:tcPr>
            <w:tcW w:w="6465" w:type="dxa"/>
            <w:tcBorders>
              <w:bottom w:val="single" w:sz="4" w:space="0" w:color="auto"/>
            </w:tcBorders>
            <w:shd w:val="clear" w:color="auto" w:fill="F2F2F2" w:themeFill="background1" w:themeFillShade="F2"/>
          </w:tcPr>
          <w:p w14:paraId="752ACB9C" w14:textId="77777777" w:rsidR="004E6955" w:rsidRPr="00A4250E" w:rsidRDefault="004E6955" w:rsidP="00A4250E">
            <w:pPr>
              <w:autoSpaceDE w:val="0"/>
              <w:autoSpaceDN w:val="0"/>
              <w:adjustRightInd w:val="0"/>
              <w:rPr>
                <w:rFonts w:cs="Palatino Linotype"/>
                <w:bCs w:val="0"/>
                <w:color w:val="000000"/>
              </w:rPr>
            </w:pPr>
            <w:r w:rsidRPr="00A4250E">
              <w:rPr>
                <w:rFonts w:cs="Palatino Linotype"/>
                <w:b/>
                <w:color w:val="000000"/>
              </w:rPr>
              <w:t xml:space="preserve">2. </w:t>
            </w:r>
            <w:r w:rsidRPr="00A4250E">
              <w:rPr>
                <w:rFonts w:cs="Palatino Linotype"/>
                <w:bCs w:val="0"/>
                <w:color w:val="000000"/>
              </w:rPr>
              <w:t xml:space="preserve">Mathematical Practices--Effective teachers of secondary mathematics: </w:t>
            </w:r>
          </w:p>
        </w:tc>
        <w:tc>
          <w:tcPr>
            <w:tcW w:w="1830" w:type="dxa"/>
            <w:tcBorders>
              <w:bottom w:val="single" w:sz="4" w:space="0" w:color="auto"/>
            </w:tcBorders>
            <w:shd w:val="clear" w:color="auto" w:fill="F2F2F2" w:themeFill="background1" w:themeFillShade="F2"/>
          </w:tcPr>
          <w:p w14:paraId="0D0B940D" w14:textId="77777777" w:rsidR="004E6955" w:rsidRPr="00A4250E" w:rsidRDefault="004E6955" w:rsidP="00A4250E">
            <w:pPr>
              <w:keepNext/>
              <w:outlineLvl w:val="5"/>
              <w:rPr>
                <w:rFonts w:cs="Times New Roman"/>
                <w:b/>
                <w:bCs w:val="0"/>
                <w:szCs w:val="20"/>
              </w:rPr>
            </w:pPr>
          </w:p>
        </w:tc>
        <w:tc>
          <w:tcPr>
            <w:tcW w:w="1848" w:type="dxa"/>
            <w:tcBorders>
              <w:bottom w:val="single" w:sz="4" w:space="0" w:color="auto"/>
            </w:tcBorders>
            <w:shd w:val="clear" w:color="auto" w:fill="F2F2F2" w:themeFill="background1" w:themeFillShade="F2"/>
          </w:tcPr>
          <w:p w14:paraId="0E27B00A" w14:textId="77777777" w:rsidR="004E6955" w:rsidRPr="00A4250E" w:rsidRDefault="004E6955" w:rsidP="00A4250E">
            <w:pPr>
              <w:rPr>
                <w:rFonts w:cs="Times New Roman"/>
                <w:b/>
                <w:bCs w:val="0"/>
                <w:szCs w:val="20"/>
              </w:rPr>
            </w:pPr>
          </w:p>
        </w:tc>
      </w:tr>
      <w:tr w:rsidR="004E6955" w:rsidRPr="00A4250E" w14:paraId="0660E3BF" w14:textId="77777777" w:rsidTr="35AD863C">
        <w:trPr>
          <w:trHeight w:val="692"/>
          <w:jc w:val="center"/>
        </w:trPr>
        <w:tc>
          <w:tcPr>
            <w:tcW w:w="6465" w:type="dxa"/>
            <w:shd w:val="clear" w:color="auto" w:fill="FFFFFF" w:themeFill="background1"/>
          </w:tcPr>
          <w:p w14:paraId="1D16A6B4" w14:textId="77777777" w:rsidR="004E6955" w:rsidRPr="00A4250E" w:rsidRDefault="004E6955" w:rsidP="00A4250E">
            <w:pPr>
              <w:autoSpaceDE w:val="0"/>
              <w:autoSpaceDN w:val="0"/>
              <w:adjustRightInd w:val="0"/>
              <w:rPr>
                <w:rFonts w:cs="Palatino Linotype"/>
                <w:b/>
                <w:bCs w:val="0"/>
                <w:i/>
                <w:color w:val="000000"/>
                <w:sz w:val="20"/>
                <w:szCs w:val="24"/>
                <w:u w:val="single"/>
              </w:rPr>
            </w:pPr>
            <w:r w:rsidRPr="00A4250E">
              <w:rPr>
                <w:rFonts w:cs="Palatino Linotype"/>
                <w:bCs w:val="0"/>
                <w:color w:val="000000"/>
              </w:rPr>
              <w:t>2.1. Demonstrate proficiency in using problem-solving as a vehicle for understanding mathematics by</w:t>
            </w:r>
          </w:p>
        </w:tc>
        <w:tc>
          <w:tcPr>
            <w:tcW w:w="1830" w:type="dxa"/>
          </w:tcPr>
          <w:p w14:paraId="4B94D5A5" w14:textId="77777777" w:rsidR="004E6955" w:rsidRPr="00A4250E" w:rsidRDefault="004E6955" w:rsidP="00A4250E">
            <w:pPr>
              <w:keepNext/>
              <w:outlineLvl w:val="5"/>
              <w:rPr>
                <w:rFonts w:cs="Times New Roman"/>
                <w:b/>
                <w:bCs w:val="0"/>
                <w:szCs w:val="20"/>
              </w:rPr>
            </w:pPr>
          </w:p>
        </w:tc>
        <w:tc>
          <w:tcPr>
            <w:tcW w:w="1848" w:type="dxa"/>
          </w:tcPr>
          <w:p w14:paraId="3DEEC669" w14:textId="77777777" w:rsidR="004E6955" w:rsidRPr="00A4250E" w:rsidRDefault="004E6955" w:rsidP="00A4250E">
            <w:pPr>
              <w:rPr>
                <w:rFonts w:cs="Times New Roman"/>
                <w:b/>
                <w:bCs w:val="0"/>
                <w:szCs w:val="20"/>
              </w:rPr>
            </w:pPr>
          </w:p>
        </w:tc>
      </w:tr>
      <w:tr w:rsidR="004E6955" w:rsidRPr="00A4250E" w14:paraId="68E77AAA" w14:textId="77777777" w:rsidTr="35AD863C">
        <w:trPr>
          <w:trHeight w:val="737"/>
          <w:jc w:val="center"/>
        </w:trPr>
        <w:tc>
          <w:tcPr>
            <w:tcW w:w="6465" w:type="dxa"/>
            <w:shd w:val="clear" w:color="auto" w:fill="FFFFFF" w:themeFill="background1"/>
          </w:tcPr>
          <w:p w14:paraId="3D7A8F83" w14:textId="77777777" w:rsidR="004E6955" w:rsidRPr="00A4250E" w:rsidRDefault="004E6955" w:rsidP="00A4250E">
            <w:pPr>
              <w:autoSpaceDE w:val="0"/>
              <w:autoSpaceDN w:val="0"/>
              <w:adjustRightInd w:val="0"/>
              <w:spacing w:after="88"/>
              <w:rPr>
                <w:rFonts w:cs="Palatino Linotype"/>
                <w:bCs w:val="0"/>
                <w:color w:val="000000"/>
              </w:rPr>
            </w:pPr>
            <w:r w:rsidRPr="00A4250E">
              <w:rPr>
                <w:rFonts w:cs="Palatino Linotype"/>
                <w:bCs w:val="0"/>
                <w:color w:val="000000"/>
              </w:rPr>
              <w:t>2.1.1. Developing conceptual understanding of mathematical c</w:t>
            </w:r>
            <w:r>
              <w:rPr>
                <w:rFonts w:cs="Palatino Linotype"/>
                <w:bCs w:val="0"/>
                <w:color w:val="000000"/>
              </w:rPr>
              <w:t>oncepts through problem-solving</w:t>
            </w:r>
          </w:p>
        </w:tc>
        <w:tc>
          <w:tcPr>
            <w:tcW w:w="1830" w:type="dxa"/>
          </w:tcPr>
          <w:p w14:paraId="049F31CB" w14:textId="77777777" w:rsidR="004E6955" w:rsidRPr="00A4250E" w:rsidRDefault="004E6955" w:rsidP="00A4250E">
            <w:pPr>
              <w:keepNext/>
              <w:outlineLvl w:val="5"/>
              <w:rPr>
                <w:rFonts w:cs="Times New Roman"/>
                <w:b/>
                <w:bCs w:val="0"/>
                <w:szCs w:val="20"/>
              </w:rPr>
            </w:pPr>
          </w:p>
        </w:tc>
        <w:tc>
          <w:tcPr>
            <w:tcW w:w="1848" w:type="dxa"/>
          </w:tcPr>
          <w:p w14:paraId="53128261" w14:textId="77777777" w:rsidR="004E6955" w:rsidRPr="00A4250E" w:rsidRDefault="004E6955" w:rsidP="00A4250E">
            <w:pPr>
              <w:rPr>
                <w:rFonts w:cs="Times New Roman"/>
                <w:b/>
                <w:bCs w:val="0"/>
                <w:szCs w:val="20"/>
              </w:rPr>
            </w:pPr>
          </w:p>
        </w:tc>
      </w:tr>
      <w:tr w:rsidR="004E6955" w:rsidRPr="00A4250E" w14:paraId="039A2592" w14:textId="77777777" w:rsidTr="35AD863C">
        <w:trPr>
          <w:trHeight w:val="773"/>
          <w:jc w:val="center"/>
        </w:trPr>
        <w:tc>
          <w:tcPr>
            <w:tcW w:w="6465" w:type="dxa"/>
            <w:shd w:val="clear" w:color="auto" w:fill="FFFFFF" w:themeFill="background1"/>
          </w:tcPr>
          <w:p w14:paraId="4925D18A" w14:textId="77777777" w:rsidR="004E6955" w:rsidRPr="00A4250E" w:rsidRDefault="004E6955" w:rsidP="00A4250E">
            <w:pPr>
              <w:autoSpaceDE w:val="0"/>
              <w:autoSpaceDN w:val="0"/>
              <w:adjustRightInd w:val="0"/>
              <w:spacing w:after="88"/>
              <w:rPr>
                <w:rFonts w:cs="Palatino Linotype"/>
                <w:bCs w:val="0"/>
                <w:color w:val="000000"/>
              </w:rPr>
            </w:pPr>
            <w:r w:rsidRPr="00A4250E">
              <w:rPr>
                <w:rFonts w:cs="Palatino Linotype"/>
                <w:bCs w:val="0"/>
                <w:color w:val="000000"/>
              </w:rPr>
              <w:t>2.1.2. Making sense of a wide variety of problems and persevering in solving them</w:t>
            </w:r>
          </w:p>
        </w:tc>
        <w:tc>
          <w:tcPr>
            <w:tcW w:w="1830" w:type="dxa"/>
          </w:tcPr>
          <w:p w14:paraId="4B99056E" w14:textId="77777777" w:rsidR="004E6955" w:rsidRPr="00A4250E" w:rsidRDefault="004E6955" w:rsidP="00A4250E">
            <w:pPr>
              <w:keepNext/>
              <w:outlineLvl w:val="5"/>
              <w:rPr>
                <w:rFonts w:cs="Times New Roman"/>
                <w:b/>
                <w:bCs w:val="0"/>
                <w:szCs w:val="20"/>
              </w:rPr>
            </w:pPr>
          </w:p>
        </w:tc>
        <w:tc>
          <w:tcPr>
            <w:tcW w:w="1848" w:type="dxa"/>
          </w:tcPr>
          <w:p w14:paraId="1299C43A" w14:textId="77777777" w:rsidR="004E6955" w:rsidRPr="00A4250E" w:rsidRDefault="004E6955" w:rsidP="00A4250E">
            <w:pPr>
              <w:rPr>
                <w:rFonts w:cs="Times New Roman"/>
                <w:b/>
                <w:bCs w:val="0"/>
                <w:szCs w:val="20"/>
              </w:rPr>
            </w:pPr>
          </w:p>
        </w:tc>
      </w:tr>
      <w:tr w:rsidR="004E6955" w:rsidRPr="00A4250E" w14:paraId="5934FA1C" w14:textId="77777777" w:rsidTr="35AD863C">
        <w:trPr>
          <w:trHeight w:val="773"/>
          <w:jc w:val="center"/>
        </w:trPr>
        <w:tc>
          <w:tcPr>
            <w:tcW w:w="6465" w:type="dxa"/>
            <w:shd w:val="clear" w:color="auto" w:fill="FFFFFF" w:themeFill="background1"/>
          </w:tcPr>
          <w:p w14:paraId="7E46E49D" w14:textId="77777777" w:rsidR="004E6955" w:rsidRPr="00A4250E" w:rsidRDefault="004E6955" w:rsidP="00A4250E">
            <w:pPr>
              <w:autoSpaceDE w:val="0"/>
              <w:autoSpaceDN w:val="0"/>
              <w:adjustRightInd w:val="0"/>
              <w:spacing w:after="88"/>
              <w:rPr>
                <w:rFonts w:cs="Palatino Linotype"/>
                <w:bCs w:val="0"/>
                <w:color w:val="000000"/>
              </w:rPr>
            </w:pPr>
            <w:r w:rsidRPr="00A4250E">
              <w:rPr>
                <w:rFonts w:cs="Palatino Linotype"/>
                <w:bCs w:val="0"/>
                <w:color w:val="000000"/>
              </w:rPr>
              <w:t>2.1.3. Applying various strategies to solve problems a</w:t>
            </w:r>
            <w:r>
              <w:rPr>
                <w:rFonts w:cs="Palatino Linotype"/>
                <w:bCs w:val="0"/>
                <w:color w:val="000000"/>
              </w:rPr>
              <w:t xml:space="preserve">rising in mathematics and other </w:t>
            </w:r>
            <w:r w:rsidRPr="00A4250E">
              <w:rPr>
                <w:rFonts w:cs="Palatino Linotype"/>
                <w:bCs w:val="0"/>
                <w:color w:val="000000"/>
              </w:rPr>
              <w:t>contexts</w:t>
            </w:r>
          </w:p>
        </w:tc>
        <w:tc>
          <w:tcPr>
            <w:tcW w:w="1830" w:type="dxa"/>
          </w:tcPr>
          <w:p w14:paraId="3CF2D8B6" w14:textId="77777777" w:rsidR="004E6955" w:rsidRPr="00A4250E" w:rsidRDefault="004E6955" w:rsidP="00A4250E">
            <w:pPr>
              <w:keepNext/>
              <w:outlineLvl w:val="5"/>
              <w:rPr>
                <w:rFonts w:cs="Times New Roman"/>
                <w:b/>
                <w:bCs w:val="0"/>
                <w:szCs w:val="20"/>
              </w:rPr>
            </w:pPr>
          </w:p>
        </w:tc>
        <w:tc>
          <w:tcPr>
            <w:tcW w:w="1848" w:type="dxa"/>
          </w:tcPr>
          <w:p w14:paraId="0FB78278" w14:textId="77777777" w:rsidR="004E6955" w:rsidRPr="00A4250E" w:rsidRDefault="004E6955" w:rsidP="00A4250E">
            <w:pPr>
              <w:rPr>
                <w:rFonts w:cs="Times New Roman"/>
                <w:b/>
                <w:bCs w:val="0"/>
                <w:szCs w:val="20"/>
              </w:rPr>
            </w:pPr>
          </w:p>
        </w:tc>
      </w:tr>
      <w:tr w:rsidR="004E6955" w:rsidRPr="00A4250E" w14:paraId="3654B5CA" w14:textId="77777777" w:rsidTr="35AD863C">
        <w:trPr>
          <w:trHeight w:val="773"/>
          <w:jc w:val="center"/>
        </w:trPr>
        <w:tc>
          <w:tcPr>
            <w:tcW w:w="6465" w:type="dxa"/>
            <w:shd w:val="clear" w:color="auto" w:fill="FFFFFF" w:themeFill="background1"/>
          </w:tcPr>
          <w:p w14:paraId="3365A177" w14:textId="77777777" w:rsidR="004E6955" w:rsidRPr="00A4250E" w:rsidRDefault="004E6955" w:rsidP="00A4250E">
            <w:pPr>
              <w:autoSpaceDE w:val="0"/>
              <w:autoSpaceDN w:val="0"/>
              <w:adjustRightInd w:val="0"/>
              <w:rPr>
                <w:rFonts w:cs="Palatino Linotype"/>
                <w:bCs w:val="0"/>
                <w:color w:val="000000"/>
              </w:rPr>
            </w:pPr>
            <w:r w:rsidRPr="00A4250E">
              <w:rPr>
                <w:rFonts w:cs="Palatino Linotype"/>
                <w:bCs w:val="0"/>
                <w:color w:val="000000"/>
              </w:rPr>
              <w:t xml:space="preserve">2.1.4. Formulating and testing conjectures to generalize mathematical phenomena </w:t>
            </w:r>
          </w:p>
        </w:tc>
        <w:tc>
          <w:tcPr>
            <w:tcW w:w="1830" w:type="dxa"/>
          </w:tcPr>
          <w:p w14:paraId="34CE0A41" w14:textId="77777777" w:rsidR="004E6955" w:rsidRPr="00A4250E" w:rsidRDefault="004E6955" w:rsidP="00A4250E">
            <w:pPr>
              <w:keepNext/>
              <w:outlineLvl w:val="5"/>
              <w:rPr>
                <w:rFonts w:cs="Times New Roman"/>
                <w:b/>
                <w:bCs w:val="0"/>
                <w:szCs w:val="20"/>
              </w:rPr>
            </w:pPr>
          </w:p>
        </w:tc>
        <w:tc>
          <w:tcPr>
            <w:tcW w:w="1848" w:type="dxa"/>
          </w:tcPr>
          <w:p w14:paraId="62EBF3C5" w14:textId="77777777" w:rsidR="004E6955" w:rsidRPr="00A4250E" w:rsidRDefault="004E6955" w:rsidP="00A4250E">
            <w:pPr>
              <w:rPr>
                <w:rFonts w:cs="Times New Roman"/>
                <w:b/>
                <w:bCs w:val="0"/>
                <w:szCs w:val="20"/>
              </w:rPr>
            </w:pPr>
          </w:p>
        </w:tc>
      </w:tr>
      <w:tr w:rsidR="004E6955" w:rsidRPr="00A4250E" w14:paraId="451FFFC8" w14:textId="77777777" w:rsidTr="35AD863C">
        <w:trPr>
          <w:trHeight w:val="773"/>
          <w:jc w:val="center"/>
        </w:trPr>
        <w:tc>
          <w:tcPr>
            <w:tcW w:w="6465" w:type="dxa"/>
            <w:shd w:val="clear" w:color="auto" w:fill="FFFFFF" w:themeFill="background1"/>
          </w:tcPr>
          <w:p w14:paraId="44EF521B" w14:textId="77777777" w:rsidR="004E6955" w:rsidRPr="00A4250E" w:rsidRDefault="004E6955" w:rsidP="00A4250E">
            <w:pPr>
              <w:autoSpaceDE w:val="0"/>
              <w:autoSpaceDN w:val="0"/>
              <w:adjustRightInd w:val="0"/>
              <w:rPr>
                <w:rFonts w:cs="Palatino Linotype"/>
                <w:bCs w:val="0"/>
                <w:color w:val="000000"/>
              </w:rPr>
            </w:pPr>
            <w:r w:rsidRPr="00A4250E">
              <w:rPr>
                <w:rFonts w:cs="Palatino Linotype"/>
                <w:bCs w:val="0"/>
                <w:color w:val="000000"/>
              </w:rPr>
              <w:lastRenderedPageBreak/>
              <w:t xml:space="preserve">2.2. Demonstrate proficiency in processes for doing mathematics by: </w:t>
            </w:r>
          </w:p>
        </w:tc>
        <w:tc>
          <w:tcPr>
            <w:tcW w:w="1830" w:type="dxa"/>
          </w:tcPr>
          <w:p w14:paraId="5997CC1D" w14:textId="77777777" w:rsidR="004E6955" w:rsidRPr="00A4250E" w:rsidRDefault="004E6955" w:rsidP="00A4250E">
            <w:pPr>
              <w:keepNext/>
              <w:outlineLvl w:val="5"/>
              <w:rPr>
                <w:rFonts w:cs="Times New Roman"/>
                <w:b/>
                <w:bCs w:val="0"/>
                <w:szCs w:val="20"/>
              </w:rPr>
            </w:pPr>
          </w:p>
        </w:tc>
        <w:tc>
          <w:tcPr>
            <w:tcW w:w="1848" w:type="dxa"/>
          </w:tcPr>
          <w:p w14:paraId="110FFD37" w14:textId="77777777" w:rsidR="004E6955" w:rsidRPr="00A4250E" w:rsidRDefault="004E6955" w:rsidP="00A4250E">
            <w:pPr>
              <w:rPr>
                <w:rFonts w:cs="Times New Roman"/>
                <w:b/>
                <w:bCs w:val="0"/>
                <w:szCs w:val="20"/>
              </w:rPr>
            </w:pPr>
          </w:p>
        </w:tc>
      </w:tr>
      <w:tr w:rsidR="004E6955" w:rsidRPr="00A4250E" w14:paraId="2615CA6C" w14:textId="77777777" w:rsidTr="35AD863C">
        <w:trPr>
          <w:trHeight w:val="321"/>
          <w:jc w:val="center"/>
        </w:trPr>
        <w:tc>
          <w:tcPr>
            <w:tcW w:w="6465" w:type="dxa"/>
          </w:tcPr>
          <w:p w14:paraId="45234A79" w14:textId="77777777" w:rsidR="004E6955" w:rsidRPr="00A4250E" w:rsidRDefault="004E6955" w:rsidP="00A4250E">
            <w:pPr>
              <w:autoSpaceDE w:val="0"/>
              <w:autoSpaceDN w:val="0"/>
              <w:adjustRightInd w:val="0"/>
              <w:spacing w:after="86"/>
              <w:rPr>
                <w:rFonts w:cs="Palatino Linotype"/>
                <w:bCs w:val="0"/>
                <w:color w:val="000000"/>
              </w:rPr>
            </w:pPr>
            <w:r w:rsidRPr="00A4250E">
              <w:rPr>
                <w:rFonts w:cs="Palatino Linotype"/>
                <w:bCs w:val="0"/>
                <w:color w:val="000000"/>
              </w:rPr>
              <w:t>2.2.1. Reasoning abstractly, reflectively, and quantitatively with attention to units</w:t>
            </w:r>
          </w:p>
        </w:tc>
        <w:tc>
          <w:tcPr>
            <w:tcW w:w="1830" w:type="dxa"/>
          </w:tcPr>
          <w:p w14:paraId="1F72F646" w14:textId="77777777" w:rsidR="004E6955" w:rsidRPr="00A4250E" w:rsidRDefault="004E6955" w:rsidP="00A4250E">
            <w:pPr>
              <w:keepNext/>
              <w:outlineLvl w:val="5"/>
              <w:rPr>
                <w:rFonts w:cs="Times New Roman"/>
                <w:b/>
                <w:bCs w:val="0"/>
                <w:szCs w:val="20"/>
              </w:rPr>
            </w:pPr>
          </w:p>
        </w:tc>
        <w:tc>
          <w:tcPr>
            <w:tcW w:w="1848" w:type="dxa"/>
          </w:tcPr>
          <w:p w14:paraId="08CE6F91" w14:textId="77777777" w:rsidR="004E6955" w:rsidRPr="00A4250E" w:rsidRDefault="004E6955" w:rsidP="00A4250E">
            <w:pPr>
              <w:rPr>
                <w:rFonts w:cs="Times New Roman"/>
                <w:b/>
                <w:bCs w:val="0"/>
                <w:szCs w:val="20"/>
              </w:rPr>
            </w:pPr>
          </w:p>
        </w:tc>
      </w:tr>
      <w:tr w:rsidR="004E6955" w:rsidRPr="00A4250E" w14:paraId="7C9A2E80" w14:textId="77777777" w:rsidTr="35AD863C">
        <w:trPr>
          <w:trHeight w:val="321"/>
          <w:jc w:val="center"/>
        </w:trPr>
        <w:tc>
          <w:tcPr>
            <w:tcW w:w="6465" w:type="dxa"/>
          </w:tcPr>
          <w:p w14:paraId="1AECAD73" w14:textId="77777777" w:rsidR="004E6955" w:rsidRPr="00A4250E" w:rsidRDefault="004E6955" w:rsidP="00A4250E">
            <w:pPr>
              <w:autoSpaceDE w:val="0"/>
              <w:autoSpaceDN w:val="0"/>
              <w:adjustRightInd w:val="0"/>
              <w:spacing w:after="86"/>
              <w:rPr>
                <w:rFonts w:cs="Palatino Linotype"/>
                <w:bCs w:val="0"/>
                <w:color w:val="000000"/>
              </w:rPr>
            </w:pPr>
            <w:r w:rsidRPr="00A4250E">
              <w:rPr>
                <w:rFonts w:cs="Palatino Linotype"/>
                <w:bCs w:val="0"/>
                <w:color w:val="000000"/>
              </w:rPr>
              <w:t xml:space="preserve">2.2.2. Constructing and critiquing viable arguments and proofs </w:t>
            </w:r>
          </w:p>
        </w:tc>
        <w:tc>
          <w:tcPr>
            <w:tcW w:w="1830" w:type="dxa"/>
          </w:tcPr>
          <w:p w14:paraId="23DE523C" w14:textId="77777777" w:rsidR="004E6955" w:rsidRPr="00A4250E" w:rsidRDefault="004E6955" w:rsidP="00A4250E">
            <w:pPr>
              <w:keepNext/>
              <w:outlineLvl w:val="5"/>
              <w:rPr>
                <w:rFonts w:cs="Times New Roman"/>
                <w:b/>
                <w:bCs w:val="0"/>
                <w:szCs w:val="20"/>
              </w:rPr>
            </w:pPr>
          </w:p>
        </w:tc>
        <w:tc>
          <w:tcPr>
            <w:tcW w:w="1848" w:type="dxa"/>
          </w:tcPr>
          <w:p w14:paraId="52E56223" w14:textId="77777777" w:rsidR="004E6955" w:rsidRPr="00A4250E" w:rsidRDefault="004E6955" w:rsidP="00A4250E">
            <w:pPr>
              <w:rPr>
                <w:rFonts w:cs="Times New Roman"/>
                <w:b/>
                <w:bCs w:val="0"/>
                <w:szCs w:val="20"/>
              </w:rPr>
            </w:pPr>
          </w:p>
        </w:tc>
      </w:tr>
      <w:tr w:rsidR="004E6955" w:rsidRPr="00A4250E" w14:paraId="31A0D086" w14:textId="77777777" w:rsidTr="35AD863C">
        <w:trPr>
          <w:trHeight w:val="321"/>
          <w:jc w:val="center"/>
        </w:trPr>
        <w:tc>
          <w:tcPr>
            <w:tcW w:w="6465" w:type="dxa"/>
          </w:tcPr>
          <w:p w14:paraId="12437C58" w14:textId="77777777" w:rsidR="004E6955" w:rsidRPr="00A4250E" w:rsidRDefault="004E6955" w:rsidP="00A4250E">
            <w:pPr>
              <w:autoSpaceDE w:val="0"/>
              <w:autoSpaceDN w:val="0"/>
              <w:adjustRightInd w:val="0"/>
              <w:spacing w:after="86"/>
              <w:rPr>
                <w:rFonts w:cs="Palatino Linotype"/>
                <w:bCs w:val="0"/>
                <w:color w:val="000000"/>
              </w:rPr>
            </w:pPr>
            <w:r w:rsidRPr="00A4250E">
              <w:rPr>
                <w:rFonts w:cs="Palatino Linotype"/>
                <w:bCs w:val="0"/>
                <w:color w:val="000000"/>
              </w:rPr>
              <w:t xml:space="preserve">2.2.3. Representing and modeling generalizations using mathematics </w:t>
            </w:r>
          </w:p>
        </w:tc>
        <w:tc>
          <w:tcPr>
            <w:tcW w:w="1830" w:type="dxa"/>
          </w:tcPr>
          <w:p w14:paraId="07459315" w14:textId="77777777" w:rsidR="004E6955" w:rsidRPr="00A4250E" w:rsidRDefault="004E6955" w:rsidP="00A4250E">
            <w:pPr>
              <w:keepNext/>
              <w:outlineLvl w:val="5"/>
              <w:rPr>
                <w:rFonts w:cs="Times New Roman"/>
                <w:b/>
                <w:bCs w:val="0"/>
                <w:szCs w:val="20"/>
              </w:rPr>
            </w:pPr>
          </w:p>
        </w:tc>
        <w:tc>
          <w:tcPr>
            <w:tcW w:w="1848" w:type="dxa"/>
          </w:tcPr>
          <w:p w14:paraId="6537F28F" w14:textId="77777777" w:rsidR="004E6955" w:rsidRPr="00A4250E" w:rsidRDefault="004E6955" w:rsidP="00A4250E">
            <w:pPr>
              <w:rPr>
                <w:rFonts w:cs="Times New Roman"/>
                <w:b/>
                <w:bCs w:val="0"/>
                <w:szCs w:val="20"/>
              </w:rPr>
            </w:pPr>
          </w:p>
        </w:tc>
      </w:tr>
      <w:tr w:rsidR="004E6955" w:rsidRPr="00A4250E" w14:paraId="03C38C5C" w14:textId="77777777" w:rsidTr="35AD863C">
        <w:trPr>
          <w:trHeight w:val="321"/>
          <w:jc w:val="center"/>
        </w:trPr>
        <w:tc>
          <w:tcPr>
            <w:tcW w:w="6465" w:type="dxa"/>
          </w:tcPr>
          <w:p w14:paraId="0DDB1AFF" w14:textId="77777777" w:rsidR="004E6955" w:rsidRPr="00A4250E" w:rsidRDefault="004E6955" w:rsidP="00A4250E">
            <w:pPr>
              <w:autoSpaceDE w:val="0"/>
              <w:autoSpaceDN w:val="0"/>
              <w:adjustRightInd w:val="0"/>
              <w:spacing w:after="86"/>
              <w:rPr>
                <w:rFonts w:cs="Palatino Linotype"/>
                <w:bCs w:val="0"/>
                <w:color w:val="000000"/>
              </w:rPr>
            </w:pPr>
            <w:r w:rsidRPr="00A4250E">
              <w:rPr>
                <w:rFonts w:cs="Palatino Linotype"/>
                <w:bCs w:val="0"/>
                <w:color w:val="000000"/>
              </w:rPr>
              <w:t xml:space="preserve">2.2.4. Recognizing structure and expressing regularity in patterns of mathematical reasoning </w:t>
            </w:r>
          </w:p>
        </w:tc>
        <w:tc>
          <w:tcPr>
            <w:tcW w:w="1830" w:type="dxa"/>
          </w:tcPr>
          <w:p w14:paraId="44E871BC" w14:textId="77777777" w:rsidR="004E6955" w:rsidRPr="00A4250E" w:rsidRDefault="004E6955" w:rsidP="00A4250E">
            <w:pPr>
              <w:keepNext/>
              <w:outlineLvl w:val="5"/>
              <w:rPr>
                <w:rFonts w:cs="Times New Roman"/>
                <w:b/>
                <w:bCs w:val="0"/>
                <w:szCs w:val="20"/>
              </w:rPr>
            </w:pPr>
          </w:p>
        </w:tc>
        <w:tc>
          <w:tcPr>
            <w:tcW w:w="1848" w:type="dxa"/>
          </w:tcPr>
          <w:p w14:paraId="144A5D23" w14:textId="77777777" w:rsidR="004E6955" w:rsidRPr="00A4250E" w:rsidRDefault="004E6955" w:rsidP="00A4250E">
            <w:pPr>
              <w:rPr>
                <w:rFonts w:cs="Times New Roman"/>
                <w:b/>
                <w:bCs w:val="0"/>
                <w:szCs w:val="20"/>
              </w:rPr>
            </w:pPr>
          </w:p>
        </w:tc>
      </w:tr>
      <w:tr w:rsidR="004E6955" w:rsidRPr="00A4250E" w14:paraId="0DBD057D" w14:textId="77777777" w:rsidTr="35AD863C">
        <w:trPr>
          <w:trHeight w:val="321"/>
          <w:jc w:val="center"/>
        </w:trPr>
        <w:tc>
          <w:tcPr>
            <w:tcW w:w="6465" w:type="dxa"/>
          </w:tcPr>
          <w:p w14:paraId="60924F63" w14:textId="77777777" w:rsidR="004E6955" w:rsidRPr="00A4250E" w:rsidRDefault="004E6955" w:rsidP="00A4250E">
            <w:pPr>
              <w:autoSpaceDE w:val="0"/>
              <w:autoSpaceDN w:val="0"/>
              <w:adjustRightInd w:val="0"/>
              <w:spacing w:after="86"/>
              <w:ind w:left="-15"/>
              <w:rPr>
                <w:rFonts w:cs="Palatino Linotype"/>
                <w:bCs w:val="0"/>
                <w:color w:val="000000"/>
              </w:rPr>
            </w:pPr>
            <w:r w:rsidRPr="00A4250E">
              <w:rPr>
                <w:rFonts w:cs="Palatino Linotype"/>
                <w:bCs w:val="0"/>
                <w:color w:val="000000"/>
              </w:rPr>
              <w:t xml:space="preserve">2.2.5. Using multiple representations to model and describe mathematics </w:t>
            </w:r>
          </w:p>
        </w:tc>
        <w:tc>
          <w:tcPr>
            <w:tcW w:w="1830" w:type="dxa"/>
          </w:tcPr>
          <w:p w14:paraId="463F29E8" w14:textId="77777777" w:rsidR="004E6955" w:rsidRPr="00A4250E" w:rsidRDefault="004E6955" w:rsidP="00A4250E">
            <w:pPr>
              <w:keepNext/>
              <w:outlineLvl w:val="5"/>
              <w:rPr>
                <w:rFonts w:cs="Times New Roman"/>
                <w:b/>
                <w:bCs w:val="0"/>
                <w:szCs w:val="20"/>
              </w:rPr>
            </w:pPr>
          </w:p>
        </w:tc>
        <w:tc>
          <w:tcPr>
            <w:tcW w:w="1848" w:type="dxa"/>
          </w:tcPr>
          <w:p w14:paraId="3B7B4B86" w14:textId="77777777" w:rsidR="004E6955" w:rsidRPr="00A4250E" w:rsidRDefault="004E6955" w:rsidP="00A4250E">
            <w:pPr>
              <w:rPr>
                <w:rFonts w:cs="Times New Roman"/>
                <w:b/>
                <w:bCs w:val="0"/>
                <w:szCs w:val="20"/>
              </w:rPr>
            </w:pPr>
          </w:p>
        </w:tc>
      </w:tr>
      <w:tr w:rsidR="004E6955" w:rsidRPr="00A4250E" w14:paraId="29DE02AC" w14:textId="77777777" w:rsidTr="35AD863C">
        <w:trPr>
          <w:trHeight w:val="321"/>
          <w:jc w:val="center"/>
        </w:trPr>
        <w:tc>
          <w:tcPr>
            <w:tcW w:w="6465" w:type="dxa"/>
          </w:tcPr>
          <w:p w14:paraId="7C973083" w14:textId="77777777" w:rsidR="004E6955" w:rsidRPr="00A4250E" w:rsidRDefault="004E6955" w:rsidP="35AD863C">
            <w:pPr>
              <w:autoSpaceDE w:val="0"/>
              <w:autoSpaceDN w:val="0"/>
              <w:adjustRightInd w:val="0"/>
              <w:spacing w:after="86"/>
              <w:rPr>
                <w:rFonts w:cs="Palatino Linotype"/>
                <w:color w:val="000000"/>
              </w:rPr>
            </w:pPr>
            <w:r w:rsidRPr="35AD863C">
              <w:rPr>
                <w:rFonts w:cs="Palatino Linotype"/>
                <w:color w:val="000000" w:themeColor="text1"/>
              </w:rPr>
              <w:t xml:space="preserve">2.2.6. Organizing mathematical thinking and communicating ideas through appropriate mathematical vocabulary and symbols for multiple audiences </w:t>
            </w:r>
          </w:p>
        </w:tc>
        <w:tc>
          <w:tcPr>
            <w:tcW w:w="1830" w:type="dxa"/>
          </w:tcPr>
          <w:p w14:paraId="61829076" w14:textId="77777777" w:rsidR="004E6955" w:rsidRPr="00A4250E" w:rsidRDefault="004E6955" w:rsidP="004E6955">
            <w:pPr>
              <w:keepNext/>
              <w:outlineLvl w:val="5"/>
              <w:rPr>
                <w:rFonts w:cs="Times New Roman"/>
                <w:b/>
                <w:bCs w:val="0"/>
                <w:szCs w:val="20"/>
              </w:rPr>
            </w:pPr>
          </w:p>
        </w:tc>
        <w:tc>
          <w:tcPr>
            <w:tcW w:w="1848" w:type="dxa"/>
          </w:tcPr>
          <w:p w14:paraId="2BA226A1" w14:textId="77777777" w:rsidR="004E6955" w:rsidRPr="00A4250E" w:rsidRDefault="004E6955" w:rsidP="004E6955">
            <w:pPr>
              <w:rPr>
                <w:rFonts w:cs="Times New Roman"/>
                <w:b/>
                <w:bCs w:val="0"/>
                <w:szCs w:val="20"/>
              </w:rPr>
            </w:pPr>
          </w:p>
        </w:tc>
      </w:tr>
      <w:tr w:rsidR="004E6955" w:rsidRPr="00A4250E" w14:paraId="4AD790AA" w14:textId="77777777" w:rsidTr="35AD863C">
        <w:trPr>
          <w:trHeight w:val="321"/>
          <w:jc w:val="center"/>
        </w:trPr>
        <w:tc>
          <w:tcPr>
            <w:tcW w:w="6465" w:type="dxa"/>
          </w:tcPr>
          <w:p w14:paraId="63CB01E6"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2.2.7. Formulating, representing, analyzing, and interpreting mathematical models derived from real-world contexts and mathematical problems. </w:t>
            </w:r>
          </w:p>
        </w:tc>
        <w:tc>
          <w:tcPr>
            <w:tcW w:w="1830" w:type="dxa"/>
          </w:tcPr>
          <w:p w14:paraId="66204FF1" w14:textId="77777777" w:rsidR="004E6955" w:rsidRPr="00A4250E" w:rsidRDefault="004E6955" w:rsidP="004E6955">
            <w:pPr>
              <w:keepNext/>
              <w:outlineLvl w:val="5"/>
              <w:rPr>
                <w:rFonts w:cs="Times New Roman"/>
                <w:b/>
                <w:bCs w:val="0"/>
                <w:szCs w:val="20"/>
              </w:rPr>
            </w:pPr>
          </w:p>
        </w:tc>
        <w:tc>
          <w:tcPr>
            <w:tcW w:w="1848" w:type="dxa"/>
          </w:tcPr>
          <w:p w14:paraId="2DBF0D7D" w14:textId="77777777" w:rsidR="004E6955" w:rsidRPr="00A4250E" w:rsidRDefault="004E6955" w:rsidP="004E6955">
            <w:pPr>
              <w:rPr>
                <w:rFonts w:cs="Times New Roman"/>
                <w:b/>
                <w:bCs w:val="0"/>
                <w:szCs w:val="20"/>
              </w:rPr>
            </w:pPr>
          </w:p>
        </w:tc>
      </w:tr>
      <w:tr w:rsidR="004E6955" w:rsidRPr="00A4250E" w14:paraId="4A08EB9E" w14:textId="77777777" w:rsidTr="35AD863C">
        <w:trPr>
          <w:trHeight w:val="321"/>
          <w:jc w:val="center"/>
        </w:trPr>
        <w:tc>
          <w:tcPr>
            <w:tcW w:w="6465" w:type="dxa"/>
          </w:tcPr>
          <w:p w14:paraId="708D272B"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2.3. Demonstrate an understanding of making mathematical connections by: </w:t>
            </w:r>
          </w:p>
        </w:tc>
        <w:tc>
          <w:tcPr>
            <w:tcW w:w="1830" w:type="dxa"/>
          </w:tcPr>
          <w:p w14:paraId="680A4E5D" w14:textId="77777777" w:rsidR="004E6955" w:rsidRPr="00A4250E" w:rsidRDefault="004E6955" w:rsidP="004E6955">
            <w:pPr>
              <w:keepNext/>
              <w:outlineLvl w:val="5"/>
              <w:rPr>
                <w:rFonts w:cs="Times New Roman"/>
                <w:b/>
                <w:bCs w:val="0"/>
                <w:szCs w:val="20"/>
              </w:rPr>
            </w:pPr>
          </w:p>
        </w:tc>
        <w:tc>
          <w:tcPr>
            <w:tcW w:w="1848" w:type="dxa"/>
          </w:tcPr>
          <w:p w14:paraId="19219836" w14:textId="77777777" w:rsidR="004E6955" w:rsidRPr="00A4250E" w:rsidRDefault="004E6955" w:rsidP="004E6955">
            <w:pPr>
              <w:rPr>
                <w:rFonts w:cs="Times New Roman"/>
                <w:b/>
                <w:bCs w:val="0"/>
                <w:szCs w:val="20"/>
              </w:rPr>
            </w:pPr>
          </w:p>
        </w:tc>
      </w:tr>
      <w:tr w:rsidR="004E6955" w:rsidRPr="00A4250E" w14:paraId="627AD36A" w14:textId="77777777" w:rsidTr="35AD863C">
        <w:trPr>
          <w:trHeight w:val="321"/>
          <w:jc w:val="center"/>
        </w:trPr>
        <w:tc>
          <w:tcPr>
            <w:tcW w:w="6465" w:type="dxa"/>
          </w:tcPr>
          <w:p w14:paraId="2B43C17A" w14:textId="77777777" w:rsidR="004E6955" w:rsidRPr="00A4250E" w:rsidRDefault="004E6955" w:rsidP="004E6955">
            <w:pPr>
              <w:autoSpaceDE w:val="0"/>
              <w:autoSpaceDN w:val="0"/>
              <w:adjustRightInd w:val="0"/>
              <w:spacing w:after="88"/>
              <w:rPr>
                <w:rFonts w:cs="Palatino Linotype"/>
                <w:bCs w:val="0"/>
                <w:color w:val="000000"/>
              </w:rPr>
            </w:pPr>
            <w:r w:rsidRPr="00A4250E">
              <w:rPr>
                <w:rFonts w:cs="Palatino Linotype"/>
                <w:bCs w:val="0"/>
                <w:color w:val="000000"/>
              </w:rPr>
              <w:t xml:space="preserve">2.3.1. Showing the interconnectedness of mathematical ideas and how they build on one another </w:t>
            </w:r>
          </w:p>
        </w:tc>
        <w:tc>
          <w:tcPr>
            <w:tcW w:w="1830" w:type="dxa"/>
          </w:tcPr>
          <w:p w14:paraId="769D0D3C" w14:textId="77777777" w:rsidR="004E6955" w:rsidRPr="00A4250E" w:rsidRDefault="004E6955" w:rsidP="004E6955">
            <w:pPr>
              <w:keepNext/>
              <w:outlineLvl w:val="5"/>
              <w:rPr>
                <w:rFonts w:cs="Times New Roman"/>
                <w:b/>
                <w:bCs w:val="0"/>
                <w:szCs w:val="20"/>
              </w:rPr>
            </w:pPr>
          </w:p>
        </w:tc>
        <w:tc>
          <w:tcPr>
            <w:tcW w:w="1848" w:type="dxa"/>
          </w:tcPr>
          <w:p w14:paraId="54CD245A" w14:textId="77777777" w:rsidR="004E6955" w:rsidRPr="00A4250E" w:rsidRDefault="004E6955" w:rsidP="004E6955">
            <w:pPr>
              <w:rPr>
                <w:rFonts w:cs="Times New Roman"/>
                <w:b/>
                <w:bCs w:val="0"/>
                <w:szCs w:val="20"/>
              </w:rPr>
            </w:pPr>
          </w:p>
        </w:tc>
      </w:tr>
      <w:tr w:rsidR="004E6955" w:rsidRPr="00A4250E" w14:paraId="3E7C3DF0" w14:textId="77777777" w:rsidTr="35AD863C">
        <w:trPr>
          <w:trHeight w:val="321"/>
          <w:jc w:val="center"/>
        </w:trPr>
        <w:tc>
          <w:tcPr>
            <w:tcW w:w="6465" w:type="dxa"/>
          </w:tcPr>
          <w:p w14:paraId="67B507F9"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2.3.2. Applying mathematical connections among mathematical ideas and across various content areas and real-world contexts </w:t>
            </w:r>
          </w:p>
        </w:tc>
        <w:tc>
          <w:tcPr>
            <w:tcW w:w="1830" w:type="dxa"/>
          </w:tcPr>
          <w:p w14:paraId="30D7AA69" w14:textId="77777777" w:rsidR="004E6955" w:rsidRPr="00A4250E" w:rsidRDefault="004E6955" w:rsidP="004E6955">
            <w:pPr>
              <w:keepNext/>
              <w:outlineLvl w:val="5"/>
              <w:rPr>
                <w:rFonts w:cs="Times New Roman"/>
                <w:b/>
                <w:bCs w:val="0"/>
                <w:szCs w:val="20"/>
              </w:rPr>
            </w:pPr>
          </w:p>
        </w:tc>
        <w:tc>
          <w:tcPr>
            <w:tcW w:w="1848" w:type="dxa"/>
          </w:tcPr>
          <w:p w14:paraId="7196D064" w14:textId="77777777" w:rsidR="004E6955" w:rsidRPr="00A4250E" w:rsidRDefault="004E6955" w:rsidP="004E6955">
            <w:pPr>
              <w:rPr>
                <w:rFonts w:cs="Times New Roman"/>
                <w:b/>
                <w:bCs w:val="0"/>
                <w:szCs w:val="20"/>
              </w:rPr>
            </w:pPr>
          </w:p>
        </w:tc>
      </w:tr>
      <w:tr w:rsidR="004E6955" w:rsidRPr="00A4250E" w14:paraId="28FEB774" w14:textId="77777777" w:rsidTr="35AD863C">
        <w:trPr>
          <w:trHeight w:val="321"/>
          <w:jc w:val="center"/>
        </w:trPr>
        <w:tc>
          <w:tcPr>
            <w:tcW w:w="6465" w:type="dxa"/>
          </w:tcPr>
          <w:p w14:paraId="1592AB36"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
                <w:color w:val="000000"/>
              </w:rPr>
              <w:t xml:space="preserve">3. </w:t>
            </w:r>
            <w:r w:rsidRPr="00A4250E">
              <w:rPr>
                <w:rFonts w:cs="Palatino Linotype"/>
                <w:bCs w:val="0"/>
                <w:color w:val="000000"/>
              </w:rPr>
              <w:t xml:space="preserve">Content Pedagogy--Effective teachers of secondary mathematics: </w:t>
            </w:r>
          </w:p>
        </w:tc>
        <w:tc>
          <w:tcPr>
            <w:tcW w:w="1830" w:type="dxa"/>
          </w:tcPr>
          <w:p w14:paraId="48A21919" w14:textId="77777777" w:rsidR="004E6955" w:rsidRPr="00A4250E" w:rsidRDefault="004E6955" w:rsidP="004E6955">
            <w:pPr>
              <w:keepNext/>
              <w:outlineLvl w:val="5"/>
              <w:rPr>
                <w:rFonts w:cs="Times New Roman"/>
                <w:b/>
                <w:bCs w:val="0"/>
                <w:szCs w:val="20"/>
              </w:rPr>
            </w:pPr>
          </w:p>
        </w:tc>
        <w:tc>
          <w:tcPr>
            <w:tcW w:w="1848" w:type="dxa"/>
          </w:tcPr>
          <w:p w14:paraId="6BD18F9B" w14:textId="77777777" w:rsidR="004E6955" w:rsidRPr="00A4250E" w:rsidRDefault="004E6955" w:rsidP="004E6955">
            <w:pPr>
              <w:rPr>
                <w:rFonts w:cs="Times New Roman"/>
                <w:b/>
                <w:bCs w:val="0"/>
                <w:szCs w:val="20"/>
              </w:rPr>
            </w:pPr>
          </w:p>
        </w:tc>
      </w:tr>
      <w:tr w:rsidR="004E6955" w:rsidRPr="00A4250E" w14:paraId="77F339CE" w14:textId="77777777" w:rsidTr="35AD863C">
        <w:trPr>
          <w:trHeight w:val="321"/>
          <w:jc w:val="center"/>
        </w:trPr>
        <w:tc>
          <w:tcPr>
            <w:tcW w:w="6465" w:type="dxa"/>
          </w:tcPr>
          <w:p w14:paraId="79E43994"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3.1. Apply knowledge of curriculum standards for secondary mathematics and their relationship to student learning within and across mathematical domains. </w:t>
            </w:r>
          </w:p>
        </w:tc>
        <w:tc>
          <w:tcPr>
            <w:tcW w:w="1830" w:type="dxa"/>
          </w:tcPr>
          <w:p w14:paraId="5B08B5D1" w14:textId="77777777" w:rsidR="004E6955" w:rsidRPr="00A4250E" w:rsidRDefault="004E6955" w:rsidP="004E6955">
            <w:pPr>
              <w:keepNext/>
              <w:outlineLvl w:val="5"/>
              <w:rPr>
                <w:rFonts w:cs="Times New Roman"/>
                <w:b/>
                <w:bCs w:val="0"/>
                <w:szCs w:val="20"/>
              </w:rPr>
            </w:pPr>
          </w:p>
        </w:tc>
        <w:tc>
          <w:tcPr>
            <w:tcW w:w="1848" w:type="dxa"/>
          </w:tcPr>
          <w:p w14:paraId="16DEB4AB" w14:textId="77777777" w:rsidR="004E6955" w:rsidRPr="00A4250E" w:rsidRDefault="004E6955" w:rsidP="004E6955">
            <w:pPr>
              <w:rPr>
                <w:rFonts w:cs="Times New Roman"/>
                <w:b/>
                <w:bCs w:val="0"/>
                <w:szCs w:val="20"/>
              </w:rPr>
            </w:pPr>
          </w:p>
        </w:tc>
      </w:tr>
      <w:tr w:rsidR="004E6955" w:rsidRPr="00A4250E" w14:paraId="381C2B7C" w14:textId="77777777" w:rsidTr="35AD863C">
        <w:trPr>
          <w:trHeight w:val="321"/>
          <w:jc w:val="center"/>
        </w:trPr>
        <w:tc>
          <w:tcPr>
            <w:tcW w:w="6465" w:type="dxa"/>
          </w:tcPr>
          <w:p w14:paraId="397415FE"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3.2. Analyze and consider research in planning for and leading students in rich mathematical learning experiences. </w:t>
            </w:r>
          </w:p>
        </w:tc>
        <w:tc>
          <w:tcPr>
            <w:tcW w:w="1830" w:type="dxa"/>
          </w:tcPr>
          <w:p w14:paraId="65F9C3DC" w14:textId="77777777" w:rsidR="004E6955" w:rsidRPr="00A4250E" w:rsidRDefault="004E6955" w:rsidP="004E6955">
            <w:pPr>
              <w:keepNext/>
              <w:outlineLvl w:val="5"/>
              <w:rPr>
                <w:rFonts w:cs="Times New Roman"/>
                <w:b/>
                <w:bCs w:val="0"/>
                <w:szCs w:val="20"/>
              </w:rPr>
            </w:pPr>
          </w:p>
        </w:tc>
        <w:tc>
          <w:tcPr>
            <w:tcW w:w="1848" w:type="dxa"/>
          </w:tcPr>
          <w:p w14:paraId="5023141B" w14:textId="77777777" w:rsidR="004E6955" w:rsidRPr="00A4250E" w:rsidRDefault="004E6955" w:rsidP="004E6955">
            <w:pPr>
              <w:rPr>
                <w:rFonts w:cs="Times New Roman"/>
                <w:b/>
                <w:bCs w:val="0"/>
                <w:szCs w:val="20"/>
              </w:rPr>
            </w:pPr>
          </w:p>
        </w:tc>
      </w:tr>
      <w:tr w:rsidR="004E6955" w:rsidRPr="00A4250E" w14:paraId="7EC7D05A" w14:textId="77777777" w:rsidTr="35AD863C">
        <w:trPr>
          <w:trHeight w:val="321"/>
          <w:jc w:val="center"/>
        </w:trPr>
        <w:tc>
          <w:tcPr>
            <w:tcW w:w="6465" w:type="dxa"/>
            <w:vAlign w:val="bottom"/>
          </w:tcPr>
          <w:p w14:paraId="16F510FD"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3.3. Plan lessons and units that incorporate a variety of strategies, differentiated instruction for diverse populations, and mathematics-specific and instructional technologies in </w:t>
            </w:r>
            <w:r w:rsidRPr="00A4250E">
              <w:rPr>
                <w:rFonts w:cs="Palatino Linotype"/>
                <w:bCs w:val="0"/>
                <w:color w:val="000000"/>
              </w:rPr>
              <w:lastRenderedPageBreak/>
              <w:t xml:space="preserve">building all students’ conceptual understanding and procedural proficiency. </w:t>
            </w:r>
          </w:p>
        </w:tc>
        <w:tc>
          <w:tcPr>
            <w:tcW w:w="1830" w:type="dxa"/>
          </w:tcPr>
          <w:p w14:paraId="664355AD" w14:textId="77777777" w:rsidR="004E6955" w:rsidRPr="00A4250E" w:rsidRDefault="004E6955" w:rsidP="004E6955">
            <w:pPr>
              <w:keepNext/>
              <w:outlineLvl w:val="5"/>
              <w:rPr>
                <w:rFonts w:cs="Times New Roman"/>
                <w:b/>
                <w:bCs w:val="0"/>
                <w:szCs w:val="20"/>
              </w:rPr>
            </w:pPr>
          </w:p>
        </w:tc>
        <w:tc>
          <w:tcPr>
            <w:tcW w:w="1848" w:type="dxa"/>
          </w:tcPr>
          <w:p w14:paraId="1A965116" w14:textId="77777777" w:rsidR="004E6955" w:rsidRPr="00A4250E" w:rsidRDefault="004E6955" w:rsidP="004E6955">
            <w:pPr>
              <w:rPr>
                <w:rFonts w:cs="Times New Roman"/>
                <w:b/>
                <w:bCs w:val="0"/>
                <w:szCs w:val="20"/>
              </w:rPr>
            </w:pPr>
          </w:p>
        </w:tc>
      </w:tr>
      <w:tr w:rsidR="004E6955" w:rsidRPr="00A4250E" w14:paraId="5B2678E0" w14:textId="77777777" w:rsidTr="35AD863C">
        <w:trPr>
          <w:trHeight w:val="321"/>
          <w:jc w:val="center"/>
        </w:trPr>
        <w:tc>
          <w:tcPr>
            <w:tcW w:w="6465" w:type="dxa"/>
          </w:tcPr>
          <w:p w14:paraId="6D7CE5E9"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3.4. Provide students with opportunities to communicate about mathematics and make connections among mathematics, other content areas, everyday life, and the workplace. </w:t>
            </w:r>
          </w:p>
        </w:tc>
        <w:tc>
          <w:tcPr>
            <w:tcW w:w="1830" w:type="dxa"/>
          </w:tcPr>
          <w:p w14:paraId="1DA6542E" w14:textId="77777777" w:rsidR="004E6955" w:rsidRPr="00A4250E" w:rsidRDefault="004E6955" w:rsidP="004E6955">
            <w:pPr>
              <w:keepNext/>
              <w:outlineLvl w:val="5"/>
              <w:rPr>
                <w:rFonts w:cs="Times New Roman"/>
                <w:b/>
                <w:bCs w:val="0"/>
                <w:szCs w:val="20"/>
              </w:rPr>
            </w:pPr>
          </w:p>
        </w:tc>
        <w:tc>
          <w:tcPr>
            <w:tcW w:w="1848" w:type="dxa"/>
          </w:tcPr>
          <w:p w14:paraId="3041E394" w14:textId="77777777" w:rsidR="004E6955" w:rsidRPr="00A4250E" w:rsidRDefault="004E6955" w:rsidP="004E6955">
            <w:pPr>
              <w:rPr>
                <w:rFonts w:cs="Times New Roman"/>
                <w:b/>
                <w:bCs w:val="0"/>
                <w:szCs w:val="20"/>
              </w:rPr>
            </w:pPr>
          </w:p>
        </w:tc>
      </w:tr>
      <w:tr w:rsidR="004E6955" w:rsidRPr="00A4250E" w14:paraId="0103A7CC" w14:textId="77777777" w:rsidTr="35AD863C">
        <w:trPr>
          <w:trHeight w:val="321"/>
          <w:jc w:val="center"/>
        </w:trPr>
        <w:tc>
          <w:tcPr>
            <w:tcW w:w="6465" w:type="dxa"/>
          </w:tcPr>
          <w:p w14:paraId="49536446"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3.5. Implement techniques related to student engagement and communication including selecting high quality tasks, guiding mathematical discussions, identifying key mathematical ideas, identifying and addressing student misconceptions, and employing a range of questioning strategies. </w:t>
            </w:r>
          </w:p>
        </w:tc>
        <w:tc>
          <w:tcPr>
            <w:tcW w:w="1830" w:type="dxa"/>
          </w:tcPr>
          <w:p w14:paraId="6E1831B3" w14:textId="77777777" w:rsidR="004E6955" w:rsidRPr="00A4250E" w:rsidRDefault="004E6955" w:rsidP="004E6955">
            <w:pPr>
              <w:keepNext/>
              <w:outlineLvl w:val="5"/>
              <w:rPr>
                <w:rFonts w:cs="Times New Roman"/>
                <w:b/>
                <w:bCs w:val="0"/>
                <w:szCs w:val="20"/>
              </w:rPr>
            </w:pPr>
          </w:p>
        </w:tc>
        <w:tc>
          <w:tcPr>
            <w:tcW w:w="1848" w:type="dxa"/>
          </w:tcPr>
          <w:p w14:paraId="54E11D2A" w14:textId="77777777" w:rsidR="004E6955" w:rsidRPr="00A4250E" w:rsidRDefault="004E6955" w:rsidP="004E6955">
            <w:pPr>
              <w:rPr>
                <w:rFonts w:cs="Times New Roman"/>
                <w:b/>
                <w:bCs w:val="0"/>
                <w:szCs w:val="20"/>
              </w:rPr>
            </w:pPr>
          </w:p>
        </w:tc>
      </w:tr>
      <w:tr w:rsidR="004E6955" w:rsidRPr="00A4250E" w14:paraId="6A5923A2" w14:textId="77777777" w:rsidTr="35AD863C">
        <w:trPr>
          <w:trHeight w:val="321"/>
          <w:jc w:val="center"/>
        </w:trPr>
        <w:tc>
          <w:tcPr>
            <w:tcW w:w="6465" w:type="dxa"/>
          </w:tcPr>
          <w:p w14:paraId="1502386B"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3.6. Plan, select, implement, interpret, and use formative and summative assessments to inform instruction by reflecting on mathematical proficiencies essential for all students. </w:t>
            </w:r>
          </w:p>
        </w:tc>
        <w:tc>
          <w:tcPr>
            <w:tcW w:w="1830" w:type="dxa"/>
          </w:tcPr>
          <w:p w14:paraId="62431CDC" w14:textId="77777777" w:rsidR="004E6955" w:rsidRPr="00A4250E" w:rsidRDefault="004E6955" w:rsidP="004E6955">
            <w:pPr>
              <w:keepNext/>
              <w:outlineLvl w:val="5"/>
              <w:rPr>
                <w:rFonts w:cs="Times New Roman"/>
                <w:b/>
                <w:bCs w:val="0"/>
                <w:szCs w:val="20"/>
              </w:rPr>
            </w:pPr>
          </w:p>
        </w:tc>
        <w:tc>
          <w:tcPr>
            <w:tcW w:w="1848" w:type="dxa"/>
          </w:tcPr>
          <w:p w14:paraId="49E398E2" w14:textId="77777777" w:rsidR="004E6955" w:rsidRPr="00A4250E" w:rsidRDefault="004E6955" w:rsidP="004E6955">
            <w:pPr>
              <w:rPr>
                <w:rFonts w:cs="Times New Roman"/>
                <w:b/>
                <w:bCs w:val="0"/>
                <w:szCs w:val="20"/>
              </w:rPr>
            </w:pPr>
          </w:p>
        </w:tc>
      </w:tr>
      <w:tr w:rsidR="004E6955" w:rsidRPr="00A4250E" w14:paraId="04C4F325" w14:textId="77777777" w:rsidTr="35AD863C">
        <w:trPr>
          <w:trHeight w:val="321"/>
          <w:jc w:val="center"/>
        </w:trPr>
        <w:tc>
          <w:tcPr>
            <w:tcW w:w="6465" w:type="dxa"/>
          </w:tcPr>
          <w:p w14:paraId="127787B1"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3.7. Monitor students’ progress, make instructional decisions, and measure students’ mathematical understanding and ability using formative and summative assessments. </w:t>
            </w:r>
          </w:p>
        </w:tc>
        <w:tc>
          <w:tcPr>
            <w:tcW w:w="1830" w:type="dxa"/>
          </w:tcPr>
          <w:p w14:paraId="384BA73E" w14:textId="77777777" w:rsidR="004E6955" w:rsidRPr="00A4250E" w:rsidRDefault="004E6955" w:rsidP="004E6955">
            <w:pPr>
              <w:keepNext/>
              <w:outlineLvl w:val="5"/>
              <w:rPr>
                <w:rFonts w:cs="Times New Roman"/>
                <w:b/>
                <w:bCs w:val="0"/>
                <w:szCs w:val="20"/>
              </w:rPr>
            </w:pPr>
          </w:p>
        </w:tc>
        <w:tc>
          <w:tcPr>
            <w:tcW w:w="1848" w:type="dxa"/>
          </w:tcPr>
          <w:p w14:paraId="34B3F2EB" w14:textId="77777777" w:rsidR="004E6955" w:rsidRPr="00A4250E" w:rsidRDefault="004E6955" w:rsidP="004E6955">
            <w:pPr>
              <w:rPr>
                <w:rFonts w:cs="Times New Roman"/>
                <w:b/>
                <w:bCs w:val="0"/>
                <w:szCs w:val="20"/>
              </w:rPr>
            </w:pPr>
          </w:p>
        </w:tc>
      </w:tr>
      <w:tr w:rsidR="004E6955" w:rsidRPr="00A4250E" w14:paraId="1532E61E" w14:textId="77777777" w:rsidTr="35AD863C">
        <w:trPr>
          <w:trHeight w:val="321"/>
          <w:jc w:val="center"/>
        </w:trPr>
        <w:tc>
          <w:tcPr>
            <w:tcW w:w="6465" w:type="dxa"/>
          </w:tcPr>
          <w:p w14:paraId="57B5C45D"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
                <w:color w:val="000000"/>
              </w:rPr>
              <w:t xml:space="preserve">4. </w:t>
            </w:r>
            <w:r w:rsidRPr="00A4250E">
              <w:rPr>
                <w:rFonts w:cs="Palatino Linotype"/>
                <w:bCs w:val="0"/>
                <w:color w:val="000000"/>
              </w:rPr>
              <w:t xml:space="preserve">Mathematical Learning Environment--Effective teachers of secondary mathematics: </w:t>
            </w:r>
          </w:p>
        </w:tc>
        <w:tc>
          <w:tcPr>
            <w:tcW w:w="1830" w:type="dxa"/>
          </w:tcPr>
          <w:p w14:paraId="1D7B270A" w14:textId="77777777" w:rsidR="004E6955" w:rsidRPr="00A4250E" w:rsidRDefault="004E6955" w:rsidP="004E6955">
            <w:pPr>
              <w:keepNext/>
              <w:outlineLvl w:val="5"/>
              <w:rPr>
                <w:rFonts w:cs="Times New Roman"/>
                <w:b/>
                <w:bCs w:val="0"/>
                <w:szCs w:val="20"/>
              </w:rPr>
            </w:pPr>
          </w:p>
        </w:tc>
        <w:tc>
          <w:tcPr>
            <w:tcW w:w="1848" w:type="dxa"/>
          </w:tcPr>
          <w:p w14:paraId="4F904CB7" w14:textId="77777777" w:rsidR="004E6955" w:rsidRPr="00A4250E" w:rsidRDefault="004E6955" w:rsidP="004E6955">
            <w:pPr>
              <w:rPr>
                <w:rFonts w:cs="Times New Roman"/>
                <w:b/>
                <w:bCs w:val="0"/>
                <w:szCs w:val="20"/>
              </w:rPr>
            </w:pPr>
          </w:p>
        </w:tc>
      </w:tr>
      <w:tr w:rsidR="004E6955" w:rsidRPr="00A4250E" w14:paraId="609584F7" w14:textId="77777777" w:rsidTr="35AD863C">
        <w:trPr>
          <w:trHeight w:val="321"/>
          <w:jc w:val="center"/>
        </w:trPr>
        <w:tc>
          <w:tcPr>
            <w:tcW w:w="6465" w:type="dxa"/>
          </w:tcPr>
          <w:p w14:paraId="04027927"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4.1. Exhibit knowledge of adolescent learning, development, and behavior and demonstrate a growth mindset toward mathematical processes and learning. </w:t>
            </w:r>
          </w:p>
        </w:tc>
        <w:tc>
          <w:tcPr>
            <w:tcW w:w="1830" w:type="dxa"/>
          </w:tcPr>
          <w:p w14:paraId="03EFCA41" w14:textId="77777777" w:rsidR="004E6955" w:rsidRPr="00A4250E" w:rsidRDefault="004E6955" w:rsidP="004E6955">
            <w:pPr>
              <w:keepNext/>
              <w:outlineLvl w:val="5"/>
              <w:rPr>
                <w:rFonts w:cs="Times New Roman"/>
                <w:b/>
                <w:bCs w:val="0"/>
                <w:szCs w:val="20"/>
              </w:rPr>
            </w:pPr>
          </w:p>
        </w:tc>
        <w:tc>
          <w:tcPr>
            <w:tcW w:w="1848" w:type="dxa"/>
          </w:tcPr>
          <w:p w14:paraId="5F96A722" w14:textId="77777777" w:rsidR="004E6955" w:rsidRPr="00A4250E" w:rsidRDefault="004E6955" w:rsidP="004E6955">
            <w:pPr>
              <w:rPr>
                <w:rFonts w:cs="Times New Roman"/>
                <w:b/>
                <w:bCs w:val="0"/>
                <w:szCs w:val="20"/>
              </w:rPr>
            </w:pPr>
          </w:p>
        </w:tc>
      </w:tr>
      <w:tr w:rsidR="004E6955" w:rsidRPr="00A4250E" w14:paraId="5F90B7CF" w14:textId="77777777" w:rsidTr="35AD863C">
        <w:trPr>
          <w:trHeight w:val="321"/>
          <w:jc w:val="center"/>
        </w:trPr>
        <w:tc>
          <w:tcPr>
            <w:tcW w:w="6465" w:type="dxa"/>
          </w:tcPr>
          <w:p w14:paraId="696FAEF1"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4.2. Plan and create developmentally appropriate, sequential, and challenging learning opportunities grounded in mathematics education research in which students are actively engaged in building new knowledge from prior knowledge and experiences with connections between math and the real world. </w:t>
            </w:r>
          </w:p>
        </w:tc>
        <w:tc>
          <w:tcPr>
            <w:tcW w:w="1830" w:type="dxa"/>
          </w:tcPr>
          <w:p w14:paraId="13CB595B" w14:textId="77777777" w:rsidR="004E6955" w:rsidRPr="00A4250E" w:rsidRDefault="004E6955" w:rsidP="004E6955">
            <w:pPr>
              <w:keepNext/>
              <w:outlineLvl w:val="5"/>
              <w:rPr>
                <w:rFonts w:cs="Times New Roman"/>
                <w:b/>
                <w:bCs w:val="0"/>
                <w:szCs w:val="20"/>
              </w:rPr>
            </w:pPr>
          </w:p>
        </w:tc>
        <w:tc>
          <w:tcPr>
            <w:tcW w:w="1848" w:type="dxa"/>
          </w:tcPr>
          <w:p w14:paraId="6D9C8D39" w14:textId="77777777" w:rsidR="004E6955" w:rsidRPr="00A4250E" w:rsidRDefault="004E6955" w:rsidP="004E6955">
            <w:pPr>
              <w:rPr>
                <w:rFonts w:cs="Times New Roman"/>
                <w:b/>
                <w:bCs w:val="0"/>
                <w:szCs w:val="20"/>
              </w:rPr>
            </w:pPr>
          </w:p>
        </w:tc>
      </w:tr>
      <w:tr w:rsidR="004E6955" w:rsidRPr="00A4250E" w14:paraId="228B4683" w14:textId="77777777" w:rsidTr="35AD863C">
        <w:trPr>
          <w:trHeight w:val="321"/>
          <w:jc w:val="center"/>
        </w:trPr>
        <w:tc>
          <w:tcPr>
            <w:tcW w:w="6465" w:type="dxa"/>
          </w:tcPr>
          <w:p w14:paraId="0D834BF2"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4.3. Incorporate knowledge of individual differences and the cultural and language diversity that exists within classrooms and include culturally relevant perspectives as a means to motivate and engage students. </w:t>
            </w:r>
          </w:p>
        </w:tc>
        <w:tc>
          <w:tcPr>
            <w:tcW w:w="1830" w:type="dxa"/>
          </w:tcPr>
          <w:p w14:paraId="0A4F7224" w14:textId="77777777" w:rsidR="004E6955" w:rsidRPr="00A4250E" w:rsidRDefault="004E6955" w:rsidP="004E6955">
            <w:pPr>
              <w:keepNext/>
              <w:outlineLvl w:val="5"/>
              <w:rPr>
                <w:rFonts w:cs="Times New Roman"/>
                <w:b/>
                <w:bCs w:val="0"/>
                <w:szCs w:val="20"/>
              </w:rPr>
            </w:pPr>
          </w:p>
        </w:tc>
        <w:tc>
          <w:tcPr>
            <w:tcW w:w="1848" w:type="dxa"/>
          </w:tcPr>
          <w:p w14:paraId="5AE48A43" w14:textId="77777777" w:rsidR="004E6955" w:rsidRPr="00A4250E" w:rsidRDefault="004E6955" w:rsidP="004E6955">
            <w:pPr>
              <w:rPr>
                <w:rFonts w:cs="Times New Roman"/>
                <w:b/>
                <w:bCs w:val="0"/>
                <w:szCs w:val="20"/>
              </w:rPr>
            </w:pPr>
          </w:p>
        </w:tc>
      </w:tr>
      <w:tr w:rsidR="004E6955" w:rsidRPr="00A4250E" w14:paraId="3C972040" w14:textId="77777777" w:rsidTr="35AD863C">
        <w:trPr>
          <w:trHeight w:val="321"/>
          <w:jc w:val="center"/>
        </w:trPr>
        <w:tc>
          <w:tcPr>
            <w:tcW w:w="6465" w:type="dxa"/>
          </w:tcPr>
          <w:p w14:paraId="10182FB4"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4.4. Demonstrate an understanding of how race, class, and gender can affect students’ experiences with mathematics teaching and learning; actively combat stereotypes to avoid replication of historic patterns; and demonstrate a commitment to equitable treatment of and high expectations for all students. </w:t>
            </w:r>
          </w:p>
        </w:tc>
        <w:tc>
          <w:tcPr>
            <w:tcW w:w="1830" w:type="dxa"/>
          </w:tcPr>
          <w:p w14:paraId="007DCDA8" w14:textId="77777777" w:rsidR="004E6955" w:rsidRPr="00A4250E" w:rsidRDefault="004E6955" w:rsidP="004E6955">
            <w:pPr>
              <w:keepNext/>
              <w:outlineLvl w:val="5"/>
              <w:rPr>
                <w:rFonts w:cs="Times New Roman"/>
                <w:b/>
                <w:bCs w:val="0"/>
                <w:szCs w:val="20"/>
              </w:rPr>
            </w:pPr>
          </w:p>
        </w:tc>
        <w:tc>
          <w:tcPr>
            <w:tcW w:w="1848" w:type="dxa"/>
          </w:tcPr>
          <w:p w14:paraId="450EA2D7" w14:textId="77777777" w:rsidR="004E6955" w:rsidRPr="00A4250E" w:rsidRDefault="004E6955" w:rsidP="004E6955">
            <w:pPr>
              <w:rPr>
                <w:rFonts w:cs="Times New Roman"/>
                <w:b/>
                <w:bCs w:val="0"/>
                <w:szCs w:val="20"/>
              </w:rPr>
            </w:pPr>
          </w:p>
        </w:tc>
      </w:tr>
      <w:tr w:rsidR="004E6955" w:rsidRPr="00A4250E" w14:paraId="790002A7" w14:textId="77777777" w:rsidTr="35AD863C">
        <w:trPr>
          <w:trHeight w:val="321"/>
          <w:jc w:val="center"/>
        </w:trPr>
        <w:tc>
          <w:tcPr>
            <w:tcW w:w="6465" w:type="dxa"/>
          </w:tcPr>
          <w:p w14:paraId="672103DE"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lastRenderedPageBreak/>
              <w:t xml:space="preserve">4.5. Apply mathematical content and pedagogical knowledge to select and use instructional tools such as manipulatives and physical models, drawings, virtual environments, spreadsheets, presentation tools, and mathematics-specific </w:t>
            </w:r>
            <w:r w:rsidRPr="00A4250E">
              <w:rPr>
                <w:rFonts w:cs="Times New Roman"/>
                <w:bCs w:val="0"/>
              </w:rPr>
              <w:t xml:space="preserve">technologies (e.g., graphing tools, interactive geometry software, computer algebra systems, and statistical packages); and integrate tools and technology as essential resources to help students learn and make sense of mathematical ideas, reason mathematically, and communicate their mathematical thinking. </w:t>
            </w:r>
          </w:p>
        </w:tc>
        <w:tc>
          <w:tcPr>
            <w:tcW w:w="1830" w:type="dxa"/>
          </w:tcPr>
          <w:p w14:paraId="717AAFBA" w14:textId="77777777" w:rsidR="004E6955" w:rsidRPr="00A4250E" w:rsidRDefault="004E6955" w:rsidP="004E6955">
            <w:pPr>
              <w:keepNext/>
              <w:outlineLvl w:val="5"/>
              <w:rPr>
                <w:rFonts w:cs="Times New Roman"/>
                <w:b/>
                <w:bCs w:val="0"/>
                <w:szCs w:val="20"/>
              </w:rPr>
            </w:pPr>
          </w:p>
        </w:tc>
        <w:tc>
          <w:tcPr>
            <w:tcW w:w="1848" w:type="dxa"/>
          </w:tcPr>
          <w:p w14:paraId="56EE48EE" w14:textId="77777777" w:rsidR="004E6955" w:rsidRPr="00A4250E" w:rsidRDefault="004E6955" w:rsidP="004E6955">
            <w:pPr>
              <w:rPr>
                <w:rFonts w:cs="Times New Roman"/>
                <w:b/>
                <w:bCs w:val="0"/>
                <w:szCs w:val="20"/>
              </w:rPr>
            </w:pPr>
          </w:p>
        </w:tc>
      </w:tr>
      <w:tr w:rsidR="004E6955" w:rsidRPr="00A4250E" w14:paraId="191FF61A" w14:textId="77777777" w:rsidTr="35AD863C">
        <w:trPr>
          <w:trHeight w:val="321"/>
          <w:jc w:val="center"/>
        </w:trPr>
        <w:tc>
          <w:tcPr>
            <w:tcW w:w="6465" w:type="dxa"/>
          </w:tcPr>
          <w:p w14:paraId="75C44EDB"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4.6. Flexibly assess evidence of student mathematical proficiency for learning that takes place outside of the school, the school day, or the classroom. </w:t>
            </w:r>
          </w:p>
        </w:tc>
        <w:tc>
          <w:tcPr>
            <w:tcW w:w="1830" w:type="dxa"/>
          </w:tcPr>
          <w:p w14:paraId="1FE2DD96" w14:textId="77777777" w:rsidR="004E6955" w:rsidRPr="00A4250E" w:rsidRDefault="004E6955" w:rsidP="004E6955">
            <w:pPr>
              <w:keepNext/>
              <w:outlineLvl w:val="5"/>
              <w:rPr>
                <w:rFonts w:cs="Times New Roman"/>
                <w:b/>
                <w:bCs w:val="0"/>
                <w:szCs w:val="20"/>
              </w:rPr>
            </w:pPr>
          </w:p>
        </w:tc>
        <w:tc>
          <w:tcPr>
            <w:tcW w:w="1848" w:type="dxa"/>
          </w:tcPr>
          <w:p w14:paraId="27357532" w14:textId="77777777" w:rsidR="004E6955" w:rsidRPr="00A4250E" w:rsidRDefault="004E6955" w:rsidP="004E6955">
            <w:pPr>
              <w:rPr>
                <w:rFonts w:cs="Times New Roman"/>
                <w:b/>
                <w:bCs w:val="0"/>
                <w:szCs w:val="20"/>
              </w:rPr>
            </w:pPr>
          </w:p>
        </w:tc>
      </w:tr>
      <w:tr w:rsidR="004E6955" w:rsidRPr="00A4250E" w14:paraId="1BD004A8" w14:textId="77777777" w:rsidTr="35AD863C">
        <w:trPr>
          <w:trHeight w:val="321"/>
          <w:jc w:val="center"/>
        </w:trPr>
        <w:tc>
          <w:tcPr>
            <w:tcW w:w="6465" w:type="dxa"/>
          </w:tcPr>
          <w:p w14:paraId="38B03BF2"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
                <w:color w:val="000000"/>
              </w:rPr>
              <w:t xml:space="preserve">5. </w:t>
            </w:r>
            <w:r w:rsidRPr="00A4250E">
              <w:rPr>
                <w:rFonts w:cs="Palatino Linotype"/>
                <w:bCs w:val="0"/>
                <w:color w:val="000000"/>
              </w:rPr>
              <w:t xml:space="preserve">Impact on Student Learning--Effective teachers of secondary mathematics: </w:t>
            </w:r>
          </w:p>
        </w:tc>
        <w:tc>
          <w:tcPr>
            <w:tcW w:w="1830" w:type="dxa"/>
          </w:tcPr>
          <w:p w14:paraId="2916C19D" w14:textId="77777777" w:rsidR="004E6955" w:rsidRPr="00A4250E" w:rsidRDefault="004E6955" w:rsidP="004E6955">
            <w:pPr>
              <w:keepNext/>
              <w:outlineLvl w:val="5"/>
              <w:rPr>
                <w:rFonts w:cs="Times New Roman"/>
                <w:b/>
                <w:bCs w:val="0"/>
                <w:szCs w:val="20"/>
              </w:rPr>
            </w:pPr>
          </w:p>
        </w:tc>
        <w:tc>
          <w:tcPr>
            <w:tcW w:w="1848" w:type="dxa"/>
          </w:tcPr>
          <w:p w14:paraId="74869460" w14:textId="77777777" w:rsidR="004E6955" w:rsidRPr="00A4250E" w:rsidRDefault="004E6955" w:rsidP="004E6955">
            <w:pPr>
              <w:rPr>
                <w:rFonts w:cs="Times New Roman"/>
                <w:b/>
                <w:bCs w:val="0"/>
                <w:szCs w:val="20"/>
              </w:rPr>
            </w:pPr>
          </w:p>
        </w:tc>
      </w:tr>
      <w:tr w:rsidR="004E6955" w:rsidRPr="00A4250E" w14:paraId="6C0DC299" w14:textId="77777777" w:rsidTr="35AD863C">
        <w:trPr>
          <w:trHeight w:val="321"/>
          <w:jc w:val="center"/>
        </w:trPr>
        <w:tc>
          <w:tcPr>
            <w:tcW w:w="6465" w:type="dxa"/>
          </w:tcPr>
          <w:p w14:paraId="00CA466D"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5.1. Verify that secondary students demonstrate conceptual understanding; procedural fluency; the ability to formulate, represent, and solve problems; logical reasoning and continuous reflection on that reasoning; productive disposition toward mathematics; and the application of mathematics in a variety of contexts within major mathematical domains. </w:t>
            </w:r>
          </w:p>
        </w:tc>
        <w:tc>
          <w:tcPr>
            <w:tcW w:w="1830" w:type="dxa"/>
          </w:tcPr>
          <w:p w14:paraId="46ABBD8F" w14:textId="77777777" w:rsidR="004E6955" w:rsidRPr="00A4250E" w:rsidRDefault="004E6955" w:rsidP="004E6955">
            <w:pPr>
              <w:keepNext/>
              <w:outlineLvl w:val="5"/>
              <w:rPr>
                <w:rFonts w:cs="Times New Roman"/>
                <w:b/>
                <w:bCs w:val="0"/>
                <w:szCs w:val="20"/>
              </w:rPr>
            </w:pPr>
          </w:p>
        </w:tc>
        <w:tc>
          <w:tcPr>
            <w:tcW w:w="1848" w:type="dxa"/>
          </w:tcPr>
          <w:p w14:paraId="06BBA33E" w14:textId="77777777" w:rsidR="004E6955" w:rsidRPr="00A4250E" w:rsidRDefault="004E6955" w:rsidP="004E6955">
            <w:pPr>
              <w:rPr>
                <w:rFonts w:cs="Times New Roman"/>
                <w:b/>
                <w:bCs w:val="0"/>
                <w:szCs w:val="20"/>
              </w:rPr>
            </w:pPr>
          </w:p>
        </w:tc>
      </w:tr>
      <w:tr w:rsidR="004E6955" w:rsidRPr="00A4250E" w14:paraId="117F8BF5" w14:textId="77777777" w:rsidTr="35AD863C">
        <w:trPr>
          <w:trHeight w:val="321"/>
          <w:jc w:val="center"/>
        </w:trPr>
        <w:tc>
          <w:tcPr>
            <w:tcW w:w="6465" w:type="dxa"/>
          </w:tcPr>
          <w:p w14:paraId="76E3DFC2"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5.2. Promote personalization for each student, allowing students to demonstrate proficiency by presenting multiple types of evidence, including but not limited to teacher- or student-designed assessments, portfolios, performances, exhibitions and projects. </w:t>
            </w:r>
          </w:p>
        </w:tc>
        <w:tc>
          <w:tcPr>
            <w:tcW w:w="1830" w:type="dxa"/>
          </w:tcPr>
          <w:p w14:paraId="3382A365" w14:textId="77777777" w:rsidR="004E6955" w:rsidRPr="00A4250E" w:rsidRDefault="004E6955" w:rsidP="004E6955">
            <w:pPr>
              <w:keepNext/>
              <w:outlineLvl w:val="5"/>
              <w:rPr>
                <w:rFonts w:cs="Times New Roman"/>
                <w:b/>
                <w:bCs w:val="0"/>
                <w:szCs w:val="20"/>
              </w:rPr>
            </w:pPr>
          </w:p>
        </w:tc>
        <w:tc>
          <w:tcPr>
            <w:tcW w:w="1848" w:type="dxa"/>
          </w:tcPr>
          <w:p w14:paraId="5C71F136" w14:textId="77777777" w:rsidR="004E6955" w:rsidRPr="00A4250E" w:rsidRDefault="004E6955" w:rsidP="004E6955">
            <w:pPr>
              <w:rPr>
                <w:rFonts w:cs="Times New Roman"/>
                <w:b/>
                <w:bCs w:val="0"/>
                <w:szCs w:val="20"/>
              </w:rPr>
            </w:pPr>
          </w:p>
        </w:tc>
      </w:tr>
      <w:tr w:rsidR="004E6955" w:rsidRPr="00A4250E" w14:paraId="0B77F72E" w14:textId="77777777" w:rsidTr="35AD863C">
        <w:trPr>
          <w:trHeight w:val="321"/>
          <w:jc w:val="center"/>
        </w:trPr>
        <w:tc>
          <w:tcPr>
            <w:tcW w:w="6465" w:type="dxa"/>
          </w:tcPr>
          <w:p w14:paraId="1CD2A856"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5.3. Collect, organize, analyze, and reflect on diagnostic, formative, and summative assessment evidence, including authentic performance tasks and determine the extent to which students’ mathematical proficiencies have increased as a result of their instruction. </w:t>
            </w:r>
          </w:p>
        </w:tc>
        <w:tc>
          <w:tcPr>
            <w:tcW w:w="1830" w:type="dxa"/>
          </w:tcPr>
          <w:p w14:paraId="4C4CEA3D" w14:textId="77777777" w:rsidR="004E6955" w:rsidRPr="00A4250E" w:rsidRDefault="004E6955" w:rsidP="004E6955">
            <w:pPr>
              <w:keepNext/>
              <w:outlineLvl w:val="5"/>
              <w:rPr>
                <w:rFonts w:cs="Times New Roman"/>
                <w:b/>
                <w:bCs w:val="0"/>
                <w:szCs w:val="20"/>
              </w:rPr>
            </w:pPr>
          </w:p>
        </w:tc>
        <w:tc>
          <w:tcPr>
            <w:tcW w:w="1848" w:type="dxa"/>
          </w:tcPr>
          <w:p w14:paraId="50895670" w14:textId="77777777" w:rsidR="004E6955" w:rsidRPr="00A4250E" w:rsidRDefault="004E6955" w:rsidP="004E6955">
            <w:pPr>
              <w:rPr>
                <w:rFonts w:cs="Times New Roman"/>
                <w:b/>
                <w:bCs w:val="0"/>
                <w:szCs w:val="20"/>
              </w:rPr>
            </w:pPr>
          </w:p>
        </w:tc>
      </w:tr>
      <w:tr w:rsidR="004E6955" w:rsidRPr="00A4250E" w14:paraId="27F8BF2F" w14:textId="77777777" w:rsidTr="35AD863C">
        <w:trPr>
          <w:trHeight w:val="321"/>
          <w:jc w:val="center"/>
        </w:trPr>
        <w:tc>
          <w:tcPr>
            <w:tcW w:w="6465" w:type="dxa"/>
          </w:tcPr>
          <w:p w14:paraId="5A47C9E9"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5.4. Convey how the development of mathematical theory and understanding is a historical process with continuous creation of new knowledge and the refinement or previous knowledge. </w:t>
            </w:r>
          </w:p>
        </w:tc>
        <w:tc>
          <w:tcPr>
            <w:tcW w:w="1830" w:type="dxa"/>
          </w:tcPr>
          <w:p w14:paraId="41004F19" w14:textId="77777777" w:rsidR="004E6955" w:rsidRPr="00A4250E" w:rsidRDefault="004E6955" w:rsidP="004E6955">
            <w:pPr>
              <w:keepNext/>
              <w:outlineLvl w:val="5"/>
              <w:rPr>
                <w:rFonts w:cs="Times New Roman"/>
                <w:b/>
                <w:bCs w:val="0"/>
                <w:szCs w:val="20"/>
              </w:rPr>
            </w:pPr>
          </w:p>
        </w:tc>
        <w:tc>
          <w:tcPr>
            <w:tcW w:w="1848" w:type="dxa"/>
          </w:tcPr>
          <w:p w14:paraId="67C0C651" w14:textId="77777777" w:rsidR="004E6955" w:rsidRPr="00A4250E" w:rsidRDefault="004E6955" w:rsidP="004E6955">
            <w:pPr>
              <w:rPr>
                <w:rFonts w:cs="Times New Roman"/>
                <w:b/>
                <w:bCs w:val="0"/>
                <w:szCs w:val="20"/>
              </w:rPr>
            </w:pPr>
          </w:p>
        </w:tc>
      </w:tr>
      <w:tr w:rsidR="004E6955" w:rsidRPr="00A4250E" w14:paraId="1573CD1E" w14:textId="77777777" w:rsidTr="35AD863C">
        <w:trPr>
          <w:trHeight w:val="321"/>
          <w:jc w:val="center"/>
        </w:trPr>
        <w:tc>
          <w:tcPr>
            <w:tcW w:w="6465" w:type="dxa"/>
          </w:tcPr>
          <w:p w14:paraId="00622A7C"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5.5. Convey roles and responsibilities of mathematicians with respect to social, economic, cultural and political systems.  </w:t>
            </w:r>
          </w:p>
        </w:tc>
        <w:tc>
          <w:tcPr>
            <w:tcW w:w="1830" w:type="dxa"/>
          </w:tcPr>
          <w:p w14:paraId="7B04FA47" w14:textId="77777777" w:rsidR="004E6955" w:rsidRPr="00A4250E" w:rsidRDefault="004E6955" w:rsidP="004E6955">
            <w:pPr>
              <w:keepNext/>
              <w:outlineLvl w:val="5"/>
              <w:rPr>
                <w:rFonts w:cs="Times New Roman"/>
                <w:b/>
                <w:bCs w:val="0"/>
                <w:szCs w:val="20"/>
              </w:rPr>
            </w:pPr>
          </w:p>
        </w:tc>
        <w:tc>
          <w:tcPr>
            <w:tcW w:w="1848" w:type="dxa"/>
          </w:tcPr>
          <w:p w14:paraId="568C698B" w14:textId="77777777" w:rsidR="004E6955" w:rsidRPr="00A4250E" w:rsidRDefault="004E6955" w:rsidP="004E6955">
            <w:pPr>
              <w:rPr>
                <w:rFonts w:cs="Times New Roman"/>
                <w:b/>
                <w:bCs w:val="0"/>
                <w:szCs w:val="20"/>
              </w:rPr>
            </w:pPr>
          </w:p>
        </w:tc>
      </w:tr>
      <w:tr w:rsidR="004E6955" w:rsidRPr="00A4250E" w14:paraId="42E676CD" w14:textId="77777777" w:rsidTr="35AD863C">
        <w:trPr>
          <w:trHeight w:val="321"/>
          <w:jc w:val="center"/>
        </w:trPr>
        <w:tc>
          <w:tcPr>
            <w:tcW w:w="6465" w:type="dxa"/>
          </w:tcPr>
          <w:p w14:paraId="5328EC74"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
                <w:color w:val="000000"/>
              </w:rPr>
              <w:lastRenderedPageBreak/>
              <w:t xml:space="preserve">6. </w:t>
            </w:r>
            <w:r w:rsidRPr="00A4250E">
              <w:rPr>
                <w:rFonts w:cs="Palatino Linotype"/>
                <w:bCs w:val="0"/>
                <w:color w:val="000000"/>
              </w:rPr>
              <w:t xml:space="preserve">Professional Knowledge and Skills--Effective teachers of secondary mathematics: </w:t>
            </w:r>
          </w:p>
        </w:tc>
        <w:tc>
          <w:tcPr>
            <w:tcW w:w="1830" w:type="dxa"/>
          </w:tcPr>
          <w:p w14:paraId="6FFBD3EC" w14:textId="77777777" w:rsidR="004E6955" w:rsidRPr="00A4250E" w:rsidRDefault="004E6955" w:rsidP="004E6955">
            <w:pPr>
              <w:keepNext/>
              <w:outlineLvl w:val="5"/>
              <w:rPr>
                <w:rFonts w:cs="Times New Roman"/>
                <w:b/>
                <w:bCs w:val="0"/>
                <w:szCs w:val="20"/>
              </w:rPr>
            </w:pPr>
          </w:p>
        </w:tc>
        <w:tc>
          <w:tcPr>
            <w:tcW w:w="1848" w:type="dxa"/>
          </w:tcPr>
          <w:p w14:paraId="30DCCCAD" w14:textId="77777777" w:rsidR="004E6955" w:rsidRPr="00A4250E" w:rsidRDefault="004E6955" w:rsidP="004E6955">
            <w:pPr>
              <w:rPr>
                <w:rFonts w:cs="Times New Roman"/>
                <w:b/>
                <w:bCs w:val="0"/>
                <w:szCs w:val="20"/>
              </w:rPr>
            </w:pPr>
          </w:p>
        </w:tc>
      </w:tr>
      <w:tr w:rsidR="004E6955" w:rsidRPr="00A4250E" w14:paraId="79E137A7" w14:textId="77777777" w:rsidTr="35AD863C">
        <w:trPr>
          <w:trHeight w:val="321"/>
          <w:jc w:val="center"/>
        </w:trPr>
        <w:tc>
          <w:tcPr>
            <w:tcW w:w="6465" w:type="dxa"/>
          </w:tcPr>
          <w:p w14:paraId="3D52462F" w14:textId="77777777" w:rsidR="004E6955" w:rsidRPr="004E6955"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6.1. Take an active role in their professional growth and maintain a current understanding of changes in the content and pedagogy of mathematics and learning theory by participating in professional learning experiences that directly relate to the learning and teaching of mathematics. </w:t>
            </w:r>
          </w:p>
        </w:tc>
        <w:tc>
          <w:tcPr>
            <w:tcW w:w="1830" w:type="dxa"/>
          </w:tcPr>
          <w:p w14:paraId="1C0157D6" w14:textId="77777777" w:rsidR="004E6955" w:rsidRPr="00A4250E" w:rsidRDefault="004E6955" w:rsidP="004E6955">
            <w:pPr>
              <w:keepNext/>
              <w:outlineLvl w:val="5"/>
              <w:rPr>
                <w:rFonts w:cs="Times New Roman"/>
                <w:b/>
                <w:bCs w:val="0"/>
                <w:szCs w:val="20"/>
              </w:rPr>
            </w:pPr>
          </w:p>
        </w:tc>
        <w:tc>
          <w:tcPr>
            <w:tcW w:w="1848" w:type="dxa"/>
          </w:tcPr>
          <w:p w14:paraId="3691E7B2" w14:textId="77777777" w:rsidR="004E6955" w:rsidRPr="00A4250E" w:rsidRDefault="004E6955" w:rsidP="004E6955">
            <w:pPr>
              <w:rPr>
                <w:rFonts w:cs="Times New Roman"/>
                <w:b/>
                <w:bCs w:val="0"/>
                <w:szCs w:val="20"/>
              </w:rPr>
            </w:pPr>
          </w:p>
        </w:tc>
      </w:tr>
      <w:tr w:rsidR="004E6955" w:rsidRPr="00A4250E" w14:paraId="0978C70E" w14:textId="77777777" w:rsidTr="35AD863C">
        <w:trPr>
          <w:trHeight w:val="321"/>
          <w:jc w:val="center"/>
        </w:trPr>
        <w:tc>
          <w:tcPr>
            <w:tcW w:w="6465" w:type="dxa"/>
          </w:tcPr>
          <w:p w14:paraId="06CDEAAA"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6.2. Engage in continuous and collaborative learning that draws upon research in mathematics education to inform practice; enhance learning opportunities for all students’ mathematical knowledge learning; involve colleagues, other school </w:t>
            </w:r>
          </w:p>
          <w:p w14:paraId="3E09EF0E"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professionals, families, and various stakeholders; and advance their learning as a reflective practitioner.</w:t>
            </w:r>
          </w:p>
        </w:tc>
        <w:tc>
          <w:tcPr>
            <w:tcW w:w="1830" w:type="dxa"/>
          </w:tcPr>
          <w:p w14:paraId="6E36661F" w14:textId="77777777" w:rsidR="004E6955" w:rsidRPr="00A4250E" w:rsidRDefault="004E6955" w:rsidP="004E6955">
            <w:pPr>
              <w:keepNext/>
              <w:outlineLvl w:val="5"/>
              <w:rPr>
                <w:rFonts w:cs="Times New Roman"/>
                <w:b/>
                <w:bCs w:val="0"/>
                <w:szCs w:val="20"/>
              </w:rPr>
            </w:pPr>
          </w:p>
        </w:tc>
        <w:tc>
          <w:tcPr>
            <w:tcW w:w="1848" w:type="dxa"/>
          </w:tcPr>
          <w:p w14:paraId="38645DC7" w14:textId="77777777" w:rsidR="004E6955" w:rsidRPr="00A4250E" w:rsidRDefault="004E6955" w:rsidP="004E6955">
            <w:pPr>
              <w:rPr>
                <w:rFonts w:cs="Times New Roman"/>
                <w:b/>
                <w:bCs w:val="0"/>
                <w:szCs w:val="20"/>
              </w:rPr>
            </w:pPr>
          </w:p>
        </w:tc>
      </w:tr>
      <w:tr w:rsidR="004E6955" w:rsidRPr="00A4250E" w14:paraId="22096623" w14:textId="77777777" w:rsidTr="35AD863C">
        <w:trPr>
          <w:trHeight w:val="321"/>
          <w:jc w:val="center"/>
        </w:trPr>
        <w:tc>
          <w:tcPr>
            <w:tcW w:w="6465" w:type="dxa"/>
          </w:tcPr>
          <w:p w14:paraId="72B6BD8E"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6.3. Demonstrate knowledge of misconceptions typically held by adolescents and effective methods for intervening to correct such misconceptions. </w:t>
            </w:r>
          </w:p>
        </w:tc>
        <w:tc>
          <w:tcPr>
            <w:tcW w:w="1830" w:type="dxa"/>
          </w:tcPr>
          <w:p w14:paraId="0C6C2CD5" w14:textId="77777777" w:rsidR="004E6955" w:rsidRPr="00A4250E" w:rsidRDefault="004E6955" w:rsidP="004E6955">
            <w:pPr>
              <w:keepNext/>
              <w:outlineLvl w:val="5"/>
              <w:rPr>
                <w:rFonts w:cs="Times New Roman"/>
                <w:b/>
                <w:bCs w:val="0"/>
                <w:szCs w:val="20"/>
              </w:rPr>
            </w:pPr>
          </w:p>
        </w:tc>
        <w:tc>
          <w:tcPr>
            <w:tcW w:w="1848" w:type="dxa"/>
          </w:tcPr>
          <w:p w14:paraId="709E88E4" w14:textId="77777777" w:rsidR="004E6955" w:rsidRPr="00A4250E" w:rsidRDefault="004E6955" w:rsidP="004E6955">
            <w:pPr>
              <w:rPr>
                <w:rFonts w:cs="Times New Roman"/>
                <w:b/>
                <w:bCs w:val="0"/>
                <w:szCs w:val="20"/>
              </w:rPr>
            </w:pPr>
          </w:p>
        </w:tc>
      </w:tr>
      <w:tr w:rsidR="004E6955" w:rsidRPr="00A4250E" w14:paraId="3FE37C8C" w14:textId="77777777" w:rsidTr="35AD863C">
        <w:trPr>
          <w:trHeight w:val="321"/>
          <w:jc w:val="center"/>
        </w:trPr>
        <w:tc>
          <w:tcPr>
            <w:tcW w:w="6465" w:type="dxa"/>
          </w:tcPr>
          <w:p w14:paraId="321DCA58" w14:textId="77777777" w:rsidR="004E6955" w:rsidRPr="00A4250E" w:rsidRDefault="004E6955" w:rsidP="004E6955">
            <w:pPr>
              <w:autoSpaceDE w:val="0"/>
              <w:autoSpaceDN w:val="0"/>
              <w:adjustRightInd w:val="0"/>
              <w:rPr>
                <w:rFonts w:cs="Palatino Linotype"/>
                <w:bCs w:val="0"/>
                <w:color w:val="000000"/>
              </w:rPr>
            </w:pPr>
            <w:r w:rsidRPr="00A4250E">
              <w:rPr>
                <w:rFonts w:cs="Palatino Linotype"/>
                <w:bCs w:val="0"/>
                <w:color w:val="000000"/>
              </w:rPr>
              <w:t xml:space="preserve">6.4. Utilize resources from professional mathematics education organizations such as print, digital, and virtual resources/collections. </w:t>
            </w:r>
          </w:p>
        </w:tc>
        <w:tc>
          <w:tcPr>
            <w:tcW w:w="1830" w:type="dxa"/>
          </w:tcPr>
          <w:p w14:paraId="7818863E" w14:textId="77777777" w:rsidR="004E6955" w:rsidRPr="00A4250E" w:rsidRDefault="004E6955" w:rsidP="004E6955">
            <w:pPr>
              <w:keepNext/>
              <w:outlineLvl w:val="5"/>
              <w:rPr>
                <w:rFonts w:cs="Times New Roman"/>
                <w:b/>
                <w:bCs w:val="0"/>
                <w:szCs w:val="20"/>
              </w:rPr>
            </w:pPr>
          </w:p>
        </w:tc>
        <w:tc>
          <w:tcPr>
            <w:tcW w:w="1848" w:type="dxa"/>
          </w:tcPr>
          <w:p w14:paraId="44F69B9A" w14:textId="77777777" w:rsidR="004E6955" w:rsidRPr="00A4250E" w:rsidRDefault="004E6955" w:rsidP="004E6955">
            <w:pPr>
              <w:rPr>
                <w:rFonts w:cs="Times New Roman"/>
                <w:b/>
                <w:bCs w:val="0"/>
                <w:szCs w:val="20"/>
              </w:rPr>
            </w:pPr>
          </w:p>
        </w:tc>
      </w:tr>
      <w:tr w:rsidR="004E6955" w:rsidRPr="00A4250E" w14:paraId="0077A263" w14:textId="77777777" w:rsidTr="35AD863C">
        <w:trPr>
          <w:trHeight w:val="321"/>
          <w:jc w:val="center"/>
        </w:trPr>
        <w:tc>
          <w:tcPr>
            <w:tcW w:w="6465" w:type="dxa"/>
          </w:tcPr>
          <w:p w14:paraId="5C0D62E3" w14:textId="77777777" w:rsidR="004E6955" w:rsidRPr="00A4250E" w:rsidRDefault="004E6955" w:rsidP="004E6955">
            <w:pPr>
              <w:rPr>
                <w:rFonts w:cs="Times New Roman"/>
                <w:b/>
                <w:bCs w:val="0"/>
              </w:rPr>
            </w:pPr>
            <w:r w:rsidRPr="00A4250E">
              <w:rPr>
                <w:rFonts w:cs="Times New Roman"/>
                <w:b/>
                <w:bCs w:val="0"/>
              </w:rPr>
              <w:t>Additional Requirements:</w:t>
            </w:r>
          </w:p>
        </w:tc>
        <w:tc>
          <w:tcPr>
            <w:tcW w:w="1830" w:type="dxa"/>
          </w:tcPr>
          <w:p w14:paraId="43D6B1D6" w14:textId="77777777" w:rsidR="004E6955" w:rsidRPr="00A4250E" w:rsidRDefault="004E6955" w:rsidP="004E6955">
            <w:pPr>
              <w:keepNext/>
              <w:outlineLvl w:val="5"/>
              <w:rPr>
                <w:rFonts w:cs="Times New Roman"/>
                <w:b/>
                <w:bCs w:val="0"/>
                <w:szCs w:val="20"/>
              </w:rPr>
            </w:pPr>
          </w:p>
        </w:tc>
        <w:tc>
          <w:tcPr>
            <w:tcW w:w="1848" w:type="dxa"/>
          </w:tcPr>
          <w:p w14:paraId="17DBC151" w14:textId="77777777" w:rsidR="004E6955" w:rsidRPr="00A4250E" w:rsidRDefault="004E6955" w:rsidP="004E6955">
            <w:pPr>
              <w:rPr>
                <w:rFonts w:cs="Times New Roman"/>
                <w:b/>
                <w:bCs w:val="0"/>
                <w:szCs w:val="20"/>
              </w:rPr>
            </w:pPr>
          </w:p>
        </w:tc>
      </w:tr>
      <w:tr w:rsidR="004E6955" w:rsidRPr="00A4250E" w14:paraId="142DF56D" w14:textId="77777777" w:rsidTr="35AD863C">
        <w:trPr>
          <w:trHeight w:val="321"/>
          <w:jc w:val="center"/>
        </w:trPr>
        <w:tc>
          <w:tcPr>
            <w:tcW w:w="6465" w:type="dxa"/>
          </w:tcPr>
          <w:p w14:paraId="1C1C72CE" w14:textId="77777777" w:rsidR="004E6955" w:rsidRPr="00A4250E" w:rsidRDefault="004E6955" w:rsidP="004E6955">
            <w:pPr>
              <w:rPr>
                <w:rFonts w:cs="Times New Roman"/>
                <w:bCs w:val="0"/>
              </w:rPr>
            </w:pPr>
            <w:r w:rsidRPr="00A4250E">
              <w:rPr>
                <w:rFonts w:cs="Times New Roman"/>
                <w:bCs w:val="0"/>
              </w:rPr>
              <w:t>REQUIRED TESTING: Praxis II Subject Assessment: Mathematics – Test Code 5161</w:t>
            </w:r>
          </w:p>
        </w:tc>
        <w:tc>
          <w:tcPr>
            <w:tcW w:w="1830" w:type="dxa"/>
          </w:tcPr>
          <w:p w14:paraId="1037B8A3" w14:textId="77777777" w:rsidR="004E6955" w:rsidRPr="00A4250E" w:rsidRDefault="004E6955" w:rsidP="004E6955">
            <w:pPr>
              <w:keepNext/>
              <w:outlineLvl w:val="5"/>
              <w:rPr>
                <w:rFonts w:cs="Times New Roman"/>
                <w:b/>
                <w:bCs w:val="0"/>
                <w:szCs w:val="20"/>
              </w:rPr>
            </w:pPr>
          </w:p>
        </w:tc>
        <w:tc>
          <w:tcPr>
            <w:tcW w:w="1848" w:type="dxa"/>
          </w:tcPr>
          <w:p w14:paraId="687C6DE0" w14:textId="77777777" w:rsidR="004E6955" w:rsidRPr="00A4250E" w:rsidRDefault="004E6955" w:rsidP="004E6955">
            <w:pPr>
              <w:rPr>
                <w:rFonts w:cs="Times New Roman"/>
                <w:b/>
                <w:bCs w:val="0"/>
                <w:szCs w:val="20"/>
              </w:rPr>
            </w:pPr>
          </w:p>
        </w:tc>
      </w:tr>
      <w:tr w:rsidR="004E6955" w:rsidRPr="00A4250E" w14:paraId="4B9DE75D" w14:textId="77777777" w:rsidTr="35AD863C">
        <w:trPr>
          <w:trHeight w:val="321"/>
          <w:jc w:val="center"/>
        </w:trPr>
        <w:tc>
          <w:tcPr>
            <w:tcW w:w="6465" w:type="dxa"/>
          </w:tcPr>
          <w:p w14:paraId="0380AFE5" w14:textId="77777777" w:rsidR="004E6955" w:rsidRPr="004E6955" w:rsidRDefault="004E6955" w:rsidP="004E6955">
            <w:pPr>
              <w:rPr>
                <w:rFonts w:cs="Times New Roman"/>
                <w:b/>
                <w:bCs w:val="0"/>
              </w:rPr>
            </w:pPr>
            <w:r w:rsidRPr="00A4250E">
              <w:rPr>
                <w:rFonts w:cs="Times New Roman"/>
                <w:bCs w:val="0"/>
              </w:rPr>
              <w:t xml:space="preserve">A major in mathematics, or the equivalent in undergraduate and/or graduate coursework in mathematics. </w:t>
            </w:r>
            <w:r w:rsidRPr="00A4250E">
              <w:rPr>
                <w:rFonts w:cs="Times New Roman"/>
                <w:b/>
                <w:bCs w:val="0"/>
              </w:rPr>
              <w:t xml:space="preserve">(The equivalent of a major is defined as at least 30 credits, at least nine (9) of which shall be advanced undergraduate courses or higher. Please attach the degree equivalency worksheet if needed) </w:t>
            </w:r>
          </w:p>
        </w:tc>
        <w:tc>
          <w:tcPr>
            <w:tcW w:w="1830" w:type="dxa"/>
          </w:tcPr>
          <w:p w14:paraId="7D3BEE8F" w14:textId="77777777" w:rsidR="004E6955" w:rsidRPr="00A4250E" w:rsidRDefault="004E6955" w:rsidP="004E6955">
            <w:pPr>
              <w:keepNext/>
              <w:outlineLvl w:val="5"/>
              <w:rPr>
                <w:rFonts w:cs="Times New Roman"/>
                <w:b/>
                <w:bCs w:val="0"/>
                <w:szCs w:val="20"/>
              </w:rPr>
            </w:pPr>
          </w:p>
        </w:tc>
        <w:tc>
          <w:tcPr>
            <w:tcW w:w="1848" w:type="dxa"/>
          </w:tcPr>
          <w:p w14:paraId="3B88899E" w14:textId="77777777" w:rsidR="004E6955" w:rsidRPr="00A4250E" w:rsidRDefault="004E6955" w:rsidP="004E6955">
            <w:pPr>
              <w:rPr>
                <w:rFonts w:cs="Times New Roman"/>
                <w:b/>
                <w:bCs w:val="0"/>
                <w:szCs w:val="20"/>
              </w:rPr>
            </w:pPr>
          </w:p>
        </w:tc>
      </w:tr>
      <w:tr w:rsidR="004E6955" w:rsidRPr="00A4250E" w14:paraId="7609AC11" w14:textId="77777777" w:rsidTr="35AD863C">
        <w:trPr>
          <w:trHeight w:val="321"/>
          <w:jc w:val="center"/>
        </w:trPr>
        <w:tc>
          <w:tcPr>
            <w:tcW w:w="6465" w:type="dxa"/>
          </w:tcPr>
          <w:p w14:paraId="6D63A3EF" w14:textId="77777777" w:rsidR="004E6955" w:rsidRPr="00A4250E" w:rsidRDefault="004E6955" w:rsidP="004E6955">
            <w:pPr>
              <w:rPr>
                <w:rFonts w:cs="Times New Roman"/>
                <w:bCs w:val="0"/>
              </w:rPr>
            </w:pPr>
            <w:r w:rsidRPr="00A4250E">
              <w:rPr>
                <w:rFonts w:cs="Times New Roman"/>
                <w:bCs w:val="0"/>
              </w:rPr>
              <w:t>A minimum of a practicum, or the equivalent, at the middle/secondary (7-12) level in science, social studies, English, or math. (A practicum is defined as a minimum of sixty hours of supervised field experience.)</w:t>
            </w:r>
          </w:p>
        </w:tc>
        <w:tc>
          <w:tcPr>
            <w:tcW w:w="1830" w:type="dxa"/>
          </w:tcPr>
          <w:p w14:paraId="0D142F6F" w14:textId="77777777" w:rsidR="004E6955" w:rsidRPr="00A4250E" w:rsidRDefault="004E6955" w:rsidP="004E6955">
            <w:pPr>
              <w:keepNext/>
              <w:outlineLvl w:val="5"/>
              <w:rPr>
                <w:rFonts w:cs="Times New Roman"/>
                <w:b/>
                <w:bCs w:val="0"/>
                <w:szCs w:val="20"/>
              </w:rPr>
            </w:pPr>
          </w:p>
        </w:tc>
        <w:tc>
          <w:tcPr>
            <w:tcW w:w="1848" w:type="dxa"/>
          </w:tcPr>
          <w:p w14:paraId="4475AD14" w14:textId="77777777" w:rsidR="004E6955" w:rsidRPr="00A4250E" w:rsidRDefault="004E6955" w:rsidP="004E6955">
            <w:pPr>
              <w:rPr>
                <w:rFonts w:cs="Times New Roman"/>
                <w:b/>
                <w:bCs w:val="0"/>
                <w:szCs w:val="20"/>
              </w:rPr>
            </w:pPr>
          </w:p>
        </w:tc>
      </w:tr>
    </w:tbl>
    <w:p w14:paraId="271CA723" w14:textId="77777777" w:rsidR="00A4250E" w:rsidRPr="00A4250E" w:rsidRDefault="00A4250E" w:rsidP="00A4250E">
      <w:pPr>
        <w:rPr>
          <w:rFonts w:cs="Times New Roman"/>
          <w:bCs w:val="0"/>
          <w:sz w:val="24"/>
          <w:szCs w:val="20"/>
          <w:vertAlign w:val="superscript"/>
        </w:rPr>
      </w:pPr>
    </w:p>
    <w:sectPr w:rsidR="00A4250E" w:rsidRPr="00A4250E" w:rsidSect="00D90160">
      <w:headerReference w:type="default" r:id="rId12"/>
      <w:footerReference w:type="default" r:id="rId13"/>
      <w:headerReference w:type="first" r:id="rId14"/>
      <w:pgSz w:w="12240" w:h="15840"/>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E423" w14:textId="77777777" w:rsidR="00246157" w:rsidRDefault="00246157" w:rsidP="004062C7">
      <w:r>
        <w:separator/>
      </w:r>
    </w:p>
  </w:endnote>
  <w:endnote w:type="continuationSeparator" w:id="0">
    <w:p w14:paraId="2D3F0BEC" w14:textId="77777777" w:rsidR="00246157" w:rsidRDefault="00246157"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365"/>
      <w:gridCol w:w="3154"/>
      <w:gridCol w:w="3561"/>
    </w:tblGrid>
    <w:tr w:rsidR="00937F53" w14:paraId="19B375E5" w14:textId="77777777" w:rsidTr="35AD863C">
      <w:trPr>
        <w:trHeight w:val="633"/>
        <w:tblHeader/>
      </w:trPr>
      <w:tc>
        <w:tcPr>
          <w:tcW w:w="4808" w:type="dxa"/>
        </w:tcPr>
        <w:p w14:paraId="5729D70E" w14:textId="098267AC" w:rsidR="00937F53" w:rsidRPr="00937FFC" w:rsidRDefault="35AD863C" w:rsidP="35AD863C">
          <w:pPr>
            <w:rPr>
              <w:sz w:val="20"/>
              <w:szCs w:val="20"/>
            </w:rPr>
          </w:pPr>
          <w:r w:rsidRPr="35AD863C">
            <w:rPr>
              <w:sz w:val="20"/>
              <w:szCs w:val="20"/>
            </w:rPr>
            <w:t>Transcript Review Worksheet   10/6/21</w:t>
          </w:r>
        </w:p>
      </w:tc>
      <w:tc>
        <w:tcPr>
          <w:tcW w:w="4808" w:type="dxa"/>
        </w:tcPr>
        <w:p w14:paraId="0888FBDA" w14:textId="77777777" w:rsidR="00937F53" w:rsidRPr="00937FFC" w:rsidRDefault="00937F53" w:rsidP="00937FFC">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8C049D">
            <w:rPr>
              <w:b/>
              <w:noProof/>
              <w:sz w:val="20"/>
            </w:rPr>
            <w:t>2</w:t>
          </w:r>
          <w:r w:rsidRPr="00937FFC">
            <w:rPr>
              <w:b/>
              <w:sz w:val="20"/>
            </w:rPr>
            <w:fldChar w:fldCharType="end"/>
          </w:r>
          <w:r w:rsidRPr="00937FFC">
            <w:rPr>
              <w:sz w:val="20"/>
            </w:rPr>
            <w:t xml:space="preserve"> of </w:t>
          </w:r>
          <w:r w:rsidR="001E7FBE" w:rsidRPr="00937FFC">
            <w:rPr>
              <w:sz w:val="20"/>
            </w:rPr>
            <w:fldChar w:fldCharType="begin"/>
          </w:r>
          <w:r w:rsidR="001E7FBE" w:rsidRPr="00937FFC">
            <w:rPr>
              <w:sz w:val="20"/>
            </w:rPr>
            <w:instrText xml:space="preserve"> NUMPAGES  \* Arabic  \* MERGEFORMAT </w:instrText>
          </w:r>
          <w:r w:rsidR="001E7FBE" w:rsidRPr="00937FFC">
            <w:rPr>
              <w:sz w:val="20"/>
            </w:rPr>
            <w:fldChar w:fldCharType="separate"/>
          </w:r>
          <w:r w:rsidR="008C049D" w:rsidRPr="008C049D">
            <w:rPr>
              <w:b/>
              <w:noProof/>
              <w:sz w:val="20"/>
            </w:rPr>
            <w:t>8</w:t>
          </w:r>
          <w:r w:rsidR="001E7FBE" w:rsidRPr="00937FFC">
            <w:rPr>
              <w:b/>
              <w:noProof/>
              <w:sz w:val="20"/>
            </w:rPr>
            <w:fldChar w:fldCharType="end"/>
          </w:r>
        </w:p>
      </w:tc>
      <w:tc>
        <w:tcPr>
          <w:tcW w:w="4809" w:type="dxa"/>
        </w:tcPr>
        <w:p w14:paraId="3C0395D3" w14:textId="77777777" w:rsidR="00937F53" w:rsidRPr="00937FFC" w:rsidRDefault="00937F53" w:rsidP="00937FFC">
          <w:pPr>
            <w:jc w:val="right"/>
            <w:rPr>
              <w:sz w:val="20"/>
              <w:szCs w:val="18"/>
            </w:rPr>
          </w:pPr>
          <w:r w:rsidRPr="00937FFC">
            <w:rPr>
              <w:noProof/>
              <w:sz w:val="20"/>
            </w:rPr>
            <w:drawing>
              <wp:inline distT="0" distB="0" distL="0" distR="0" wp14:anchorId="3CB622A3" wp14:editId="325B89FA">
                <wp:extent cx="920017" cy="230744"/>
                <wp:effectExtent l="0" t="0" r="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254BC2F" w14:textId="77777777" w:rsidR="002237E0" w:rsidRPr="00E773E9" w:rsidRDefault="002237E0" w:rsidP="004062C7">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4315" w14:textId="77777777" w:rsidR="00246157" w:rsidRDefault="00246157" w:rsidP="004062C7">
      <w:r>
        <w:separator/>
      </w:r>
    </w:p>
  </w:footnote>
  <w:footnote w:type="continuationSeparator" w:id="0">
    <w:p w14:paraId="3CB648E9" w14:textId="77777777" w:rsidR="00246157" w:rsidRDefault="00246157"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70"/>
      <w:gridCol w:w="6210"/>
      <w:gridCol w:w="1800"/>
    </w:tblGrid>
    <w:tr w:rsidR="35AD863C" w14:paraId="1E603640" w14:textId="77777777" w:rsidTr="00733C5D">
      <w:trPr>
        <w:trHeight w:val="1260"/>
      </w:trPr>
      <w:tc>
        <w:tcPr>
          <w:tcW w:w="2070" w:type="dxa"/>
        </w:tcPr>
        <w:p w14:paraId="237E53D6" w14:textId="4BF772EE" w:rsidR="35AD863C" w:rsidRDefault="35AD863C" w:rsidP="35AD863C">
          <w:pPr>
            <w:pStyle w:val="Header"/>
            <w:ind w:left="-115"/>
          </w:pPr>
        </w:p>
      </w:tc>
      <w:tc>
        <w:tcPr>
          <w:tcW w:w="6210" w:type="dxa"/>
        </w:tcPr>
        <w:p w14:paraId="3AA46BE9" w14:textId="77777777" w:rsidR="00733C5D" w:rsidRDefault="00733C5D" w:rsidP="00733C5D">
          <w:pPr>
            <w:pStyle w:val="Header"/>
            <w:jc w:val="center"/>
          </w:pPr>
          <w:r>
            <w:rPr>
              <w:noProof/>
            </w:rPr>
            <w:drawing>
              <wp:inline distT="0" distB="0" distL="0" distR="0" wp14:anchorId="62C031D0" wp14:editId="0243F09A">
                <wp:extent cx="1614621" cy="550321"/>
                <wp:effectExtent l="0" t="0" r="5080" b="2540"/>
                <wp:docPr id="38" name="Picture 38"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50CC8D27" w14:textId="59C21739" w:rsidR="00733C5D" w:rsidRDefault="00733C5D" w:rsidP="00733C5D">
          <w:pPr>
            <w:pStyle w:val="AOE-Header"/>
          </w:pPr>
          <w:r w:rsidRPr="004009A8">
            <w:rPr>
              <w:shd w:val="clear" w:color="auto" w:fill="FFFFFF"/>
            </w:rPr>
            <w:t>1 National Life Drive, Davis 5</w:t>
          </w:r>
          <w:r w:rsidRPr="004009A8">
            <w:br/>
          </w:r>
          <w:r w:rsidRPr="004009A8">
            <w:rPr>
              <w:shd w:val="clear" w:color="auto" w:fill="FFFFFF"/>
            </w:rPr>
            <w:t>Montpelier, VT 0562</w:t>
          </w:r>
          <w:r>
            <w:rPr>
              <w:shd w:val="clear" w:color="auto" w:fill="FFFFFF"/>
            </w:rPr>
            <w:t>0</w:t>
          </w:r>
          <w:bookmarkStart w:id="0" w:name="_Hlk27730689"/>
          <w:r w:rsidRPr="00031DF5">
            <w:t>(p) 802</w:t>
          </w:r>
          <w:r>
            <w:t>-828-3440</w:t>
          </w:r>
          <w:r w:rsidRPr="00031DF5">
            <w:t xml:space="preserve"> | (f) 802-</w:t>
          </w:r>
          <w:r>
            <w:t>828-643</w:t>
          </w:r>
          <w:bookmarkEnd w:id="0"/>
          <w:r>
            <w:t>3</w:t>
          </w:r>
        </w:p>
        <w:p w14:paraId="52500442" w14:textId="77777777" w:rsidR="00733C5D" w:rsidRPr="00B12E89" w:rsidRDefault="00733C5D" w:rsidP="00733C5D">
          <w:pPr>
            <w:pStyle w:val="Header"/>
          </w:pPr>
        </w:p>
        <w:p w14:paraId="413C4B41" w14:textId="23103191" w:rsidR="35AD863C" w:rsidRDefault="35AD863C" w:rsidP="35AD863C">
          <w:pPr>
            <w:pStyle w:val="Header"/>
            <w:jc w:val="center"/>
          </w:pPr>
        </w:p>
      </w:tc>
      <w:tc>
        <w:tcPr>
          <w:tcW w:w="1800" w:type="dxa"/>
        </w:tcPr>
        <w:p w14:paraId="7B8D6841" w14:textId="5A6000B3" w:rsidR="35AD863C" w:rsidRDefault="35AD863C" w:rsidP="35AD863C">
          <w:pPr>
            <w:pStyle w:val="Header"/>
            <w:ind w:right="-115"/>
            <w:jc w:val="right"/>
          </w:pPr>
        </w:p>
      </w:tc>
    </w:tr>
  </w:tbl>
  <w:p w14:paraId="49DF48BD" w14:textId="10A5A32A" w:rsidR="35AD863C" w:rsidRDefault="35AD863C" w:rsidP="35AD8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77777777" w:rsidR="004E6955" w:rsidRDefault="004E6955" w:rsidP="004E6955">
    <w:pPr>
      <w:pStyle w:val="Header"/>
      <w:jc w:val="center"/>
    </w:pPr>
    <w:r>
      <w:rPr>
        <w:noProof/>
      </w:rPr>
      <w:drawing>
        <wp:inline distT="0" distB="0" distL="0" distR="0" wp14:anchorId="54984742" wp14:editId="70F29866">
          <wp:extent cx="1614621" cy="550321"/>
          <wp:effectExtent l="0" t="0" r="5080" b="2540"/>
          <wp:docPr id="33" name="Picture 3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4FE16228" w14:textId="77777777" w:rsidR="002237E0" w:rsidRPr="004E6955" w:rsidRDefault="004E6955" w:rsidP="004E6955">
    <w:pPr>
      <w:pStyle w:val="AOE-Header"/>
    </w:pPr>
    <w:r w:rsidRPr="004009A8">
      <w:rPr>
        <w:shd w:val="clear" w:color="auto" w:fill="FFFFFF"/>
      </w:rPr>
      <w:t>1 National Life Drive, Davis 5</w:t>
    </w:r>
    <w:r w:rsidRPr="004009A8">
      <w:br/>
    </w:r>
    <w:r w:rsidRPr="004009A8">
      <w:rPr>
        <w:shd w:val="clear" w:color="auto" w:fill="FFFFFF"/>
      </w:rPr>
      <w:t>Montpelier, VT 05602</w:t>
    </w:r>
    <w:r w:rsidRPr="004009A8">
      <w:t xml:space="preserve"> </w:t>
    </w:r>
    <w:r w:rsidRPr="00031DF5">
      <w:t>(p) 802</w:t>
    </w:r>
    <w:r>
      <w:t>-828-1130</w:t>
    </w:r>
    <w:r w:rsidRPr="00031DF5">
      <w:t xml:space="preserve"> | (f) 802-</w:t>
    </w:r>
    <w:r>
      <w:t>828-6430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C5FEA"/>
    <w:multiLevelType w:val="hybridMultilevel"/>
    <w:tmpl w:val="DAEE60F6"/>
    <w:lvl w:ilvl="0" w:tplc="65B4115C">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1"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0"/>
  </w:num>
  <w:num w:numId="2">
    <w:abstractNumId w:val="11"/>
  </w:num>
  <w:num w:numId="3">
    <w:abstractNumId w:val="19"/>
  </w:num>
  <w:num w:numId="4">
    <w:abstractNumId w:val="16"/>
  </w:num>
  <w:num w:numId="5">
    <w:abstractNumId w:val="17"/>
  </w:num>
  <w:num w:numId="6">
    <w:abstractNumId w:val="3"/>
  </w:num>
  <w:num w:numId="7">
    <w:abstractNumId w:val="0"/>
  </w:num>
  <w:num w:numId="8">
    <w:abstractNumId w:val="12"/>
  </w:num>
  <w:num w:numId="9">
    <w:abstractNumId w:val="15"/>
  </w:num>
  <w:num w:numId="10">
    <w:abstractNumId w:val="21"/>
  </w:num>
  <w:num w:numId="11">
    <w:abstractNumId w:val="13"/>
  </w:num>
  <w:num w:numId="12">
    <w:abstractNumId w:val="6"/>
  </w:num>
  <w:num w:numId="13">
    <w:abstractNumId w:val="23"/>
  </w:num>
  <w:num w:numId="14">
    <w:abstractNumId w:val="7"/>
  </w:num>
  <w:num w:numId="15">
    <w:abstractNumId w:val="22"/>
  </w:num>
  <w:num w:numId="16">
    <w:abstractNumId w:val="2"/>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bawADJMDMwMDJV0lIJTi4sz8/NACoxqAR9xdPUsAAAA"/>
  </w:docVars>
  <w:rsids>
    <w:rsidRoot w:val="00A4250E"/>
    <w:rsid w:val="000F3A23"/>
    <w:rsid w:val="000F69A4"/>
    <w:rsid w:val="00102EA8"/>
    <w:rsid w:val="00161F11"/>
    <w:rsid w:val="001645D6"/>
    <w:rsid w:val="001C1F88"/>
    <w:rsid w:val="001D07C0"/>
    <w:rsid w:val="001E486B"/>
    <w:rsid w:val="001E7FBE"/>
    <w:rsid w:val="00214045"/>
    <w:rsid w:val="00217F09"/>
    <w:rsid w:val="00221659"/>
    <w:rsid w:val="002237E0"/>
    <w:rsid w:val="00246157"/>
    <w:rsid w:val="0024786D"/>
    <w:rsid w:val="00256309"/>
    <w:rsid w:val="002A0C9D"/>
    <w:rsid w:val="002E0106"/>
    <w:rsid w:val="002E1F38"/>
    <w:rsid w:val="002E3710"/>
    <w:rsid w:val="002E7E11"/>
    <w:rsid w:val="00314055"/>
    <w:rsid w:val="00326074"/>
    <w:rsid w:val="003274F5"/>
    <w:rsid w:val="003275FD"/>
    <w:rsid w:val="00334D48"/>
    <w:rsid w:val="00340C04"/>
    <w:rsid w:val="003518CA"/>
    <w:rsid w:val="00380D6C"/>
    <w:rsid w:val="003A22D2"/>
    <w:rsid w:val="003D0155"/>
    <w:rsid w:val="003D090F"/>
    <w:rsid w:val="004062C7"/>
    <w:rsid w:val="00442899"/>
    <w:rsid w:val="00444A7A"/>
    <w:rsid w:val="00490247"/>
    <w:rsid w:val="004A7AD0"/>
    <w:rsid w:val="004B7F41"/>
    <w:rsid w:val="004E6955"/>
    <w:rsid w:val="00500232"/>
    <w:rsid w:val="005464E9"/>
    <w:rsid w:val="00575711"/>
    <w:rsid w:val="005A2F07"/>
    <w:rsid w:val="005D1A81"/>
    <w:rsid w:val="005D7389"/>
    <w:rsid w:val="005D7ABB"/>
    <w:rsid w:val="00626212"/>
    <w:rsid w:val="0063049A"/>
    <w:rsid w:val="00645769"/>
    <w:rsid w:val="00651E8D"/>
    <w:rsid w:val="00652C51"/>
    <w:rsid w:val="006703F6"/>
    <w:rsid w:val="006F698F"/>
    <w:rsid w:val="007037FC"/>
    <w:rsid w:val="00721DF9"/>
    <w:rsid w:val="00733C5D"/>
    <w:rsid w:val="00734368"/>
    <w:rsid w:val="00746838"/>
    <w:rsid w:val="007963EC"/>
    <w:rsid w:val="007D5E67"/>
    <w:rsid w:val="0082162E"/>
    <w:rsid w:val="00865A62"/>
    <w:rsid w:val="0087647A"/>
    <w:rsid w:val="008C049D"/>
    <w:rsid w:val="008C332D"/>
    <w:rsid w:val="008F6F90"/>
    <w:rsid w:val="0092656D"/>
    <w:rsid w:val="00926E53"/>
    <w:rsid w:val="00937F53"/>
    <w:rsid w:val="00937FFC"/>
    <w:rsid w:val="00961A6D"/>
    <w:rsid w:val="009D4528"/>
    <w:rsid w:val="009F71A0"/>
    <w:rsid w:val="00A1547A"/>
    <w:rsid w:val="00A24AEB"/>
    <w:rsid w:val="00A4250E"/>
    <w:rsid w:val="00A6595A"/>
    <w:rsid w:val="00A92164"/>
    <w:rsid w:val="00AC2BBA"/>
    <w:rsid w:val="00AF33BA"/>
    <w:rsid w:val="00AF602B"/>
    <w:rsid w:val="00B04C63"/>
    <w:rsid w:val="00B25D38"/>
    <w:rsid w:val="00B25DEC"/>
    <w:rsid w:val="00B6001B"/>
    <w:rsid w:val="00BD7ABE"/>
    <w:rsid w:val="00BE34D8"/>
    <w:rsid w:val="00BE43B0"/>
    <w:rsid w:val="00C60D7E"/>
    <w:rsid w:val="00CB29BB"/>
    <w:rsid w:val="00CB4229"/>
    <w:rsid w:val="00CC230C"/>
    <w:rsid w:val="00CE5CFE"/>
    <w:rsid w:val="00D04EC2"/>
    <w:rsid w:val="00D064CA"/>
    <w:rsid w:val="00D22EA0"/>
    <w:rsid w:val="00D23566"/>
    <w:rsid w:val="00D41020"/>
    <w:rsid w:val="00D569C7"/>
    <w:rsid w:val="00D8609F"/>
    <w:rsid w:val="00D90160"/>
    <w:rsid w:val="00DE7FA2"/>
    <w:rsid w:val="00E2171D"/>
    <w:rsid w:val="00E606BA"/>
    <w:rsid w:val="00E65465"/>
    <w:rsid w:val="00E773E9"/>
    <w:rsid w:val="00F76AD8"/>
    <w:rsid w:val="00F90A87"/>
    <w:rsid w:val="00FA084B"/>
    <w:rsid w:val="00FE2356"/>
    <w:rsid w:val="00FF04A6"/>
    <w:rsid w:val="00FF7E65"/>
    <w:rsid w:val="02D26C0F"/>
    <w:rsid w:val="16CE73C2"/>
    <w:rsid w:val="35AD863C"/>
    <w:rsid w:val="64B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71999"/>
  <w15:docId w15:val="{5F0E72CD-9B1E-4259-A9CC-3D19D95F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AC2BBA"/>
    <w:pPr>
      <w:numPr>
        <w:numId w:val="24"/>
      </w:numPr>
    </w:pPr>
  </w:style>
  <w:style w:type="character" w:customStyle="1" w:styleId="AOENumberedListChar">
    <w:name w:val="AOE Numbered List Char"/>
    <w:basedOn w:val="AOEBulletedListChar"/>
    <w:link w:val="AOENumberedList"/>
    <w:rsid w:val="00AC2BBA"/>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cator-quality-licensing-ru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Props1.xml><?xml version="1.0" encoding="utf-8"?>
<ds:datastoreItem xmlns:ds="http://schemas.openxmlformats.org/officeDocument/2006/customXml" ds:itemID="{C4BE2276-86EB-42DF-B620-264E31CCEEE9}">
  <ds:schemaRefs>
    <ds:schemaRef ds:uri="http://schemas.microsoft.com/sharepoint/v3/contenttype/forms"/>
  </ds:schemaRefs>
</ds:datastoreItem>
</file>

<file path=customXml/itemProps2.xml><?xml version="1.0" encoding="utf-8"?>
<ds:datastoreItem xmlns:ds="http://schemas.openxmlformats.org/officeDocument/2006/customXml" ds:itemID="{CCC4CB93-0D5D-4C02-A843-960F1F5D3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1A451-FEE6-447E-87A2-F1ACC7F3AE86}">
  <ds:schemaRefs>
    <ds:schemaRef ds:uri="http://schemas.openxmlformats.org/officeDocument/2006/bibliography"/>
  </ds:schemaRefs>
</ds:datastoreItem>
</file>

<file path=customXml/itemProps4.xml><?xml version="1.0" encoding="utf-8"?>
<ds:datastoreItem xmlns:ds="http://schemas.openxmlformats.org/officeDocument/2006/customXml" ds:itemID="{DE282336-7263-4F02-BFB5-C4EEB4E1606D}">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docProps/app.xml><?xml version="1.0" encoding="utf-8"?>
<Properties xmlns="http://schemas.openxmlformats.org/officeDocument/2006/extended-properties" xmlns:vt="http://schemas.openxmlformats.org/officeDocument/2006/docPropsVTypes">
  <Template>aoe-basic-landscape-template</Template>
  <TotalTime>1</TotalTime>
  <Pages>5</Pages>
  <Words>1308</Words>
  <Characters>7456</Characters>
  <Application>Microsoft Office Word</Application>
  <DocSecurity>0</DocSecurity>
  <Lines>62</Lines>
  <Paragraphs>17</Paragraphs>
  <ScaleCrop>false</ScaleCrop>
  <Company>Vermont Agency of Education</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Mathematics</dc:title>
  <dc:creator>Kara Mayo</dc:creator>
  <cp:lastModifiedBy>Scalabrini, Amy</cp:lastModifiedBy>
  <cp:revision>7</cp:revision>
  <cp:lastPrinted>2015-09-09T16:37:00Z</cp:lastPrinted>
  <dcterms:created xsi:type="dcterms:W3CDTF">2020-03-06T15:36:00Z</dcterms:created>
  <dcterms:modified xsi:type="dcterms:W3CDTF">2022-09-01T15:44:00Z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