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0156" w14:textId="77777777" w:rsidR="00ED3D44" w:rsidRPr="00B47264" w:rsidRDefault="00ED3D44" w:rsidP="00ED3D44">
      <w:pPr>
        <w:spacing w:line="240" w:lineRule="auto"/>
        <w:jc w:val="center"/>
        <w:rPr>
          <w:rFonts w:ascii="Palatino Linotype" w:eastAsia="Palatino Linotype" w:hAnsi="Palatino Linotype" w:cs="Palatino Linotype"/>
          <w:b/>
          <w:sz w:val="24"/>
          <w:szCs w:val="24"/>
          <w:u w:val="single"/>
        </w:rPr>
      </w:pPr>
      <w:r w:rsidRPr="00B47264">
        <w:rPr>
          <w:rFonts w:ascii="Palatino Linotype" w:eastAsia="Palatino Linotype" w:hAnsi="Palatino Linotype" w:cs="Palatino Linotype"/>
          <w:b/>
          <w:sz w:val="24"/>
          <w:szCs w:val="24"/>
          <w:u w:val="single"/>
        </w:rPr>
        <w:t>Transcript Review Worksheet</w:t>
      </w:r>
    </w:p>
    <w:p w14:paraId="672A6659" w14:textId="77777777" w:rsidR="00ED3D44" w:rsidRPr="00B47264" w:rsidRDefault="00ED3D44" w:rsidP="00ED3D44">
      <w:pPr>
        <w:spacing w:line="240" w:lineRule="auto"/>
        <w:jc w:val="center"/>
        <w:rPr>
          <w:rFonts w:ascii="Palatino Linotype" w:eastAsia="Palatino Linotype" w:hAnsi="Palatino Linotype" w:cs="Palatino Linotype"/>
          <w:b/>
          <w:u w:val="single"/>
        </w:rPr>
      </w:pPr>
    </w:p>
    <w:p w14:paraId="1EE93ABF" w14:textId="77777777" w:rsidR="00ED3D44" w:rsidRDefault="00ED3D44" w:rsidP="00ED3D44">
      <w:pPr>
        <w:spacing w:after="120" w:line="240" w:lineRule="auto"/>
        <w:jc w:val="center"/>
        <w:rPr>
          <w:rFonts w:ascii="Palatino Linotype" w:eastAsia="Palatino Linotype" w:hAnsi="Palatino Linotype" w:cs="Palatino Linotype"/>
          <w:b/>
        </w:rPr>
      </w:pPr>
      <w:r w:rsidRPr="00B47264">
        <w:rPr>
          <w:rFonts w:ascii="Palatino Linotype" w:eastAsia="Palatino Linotype" w:hAnsi="Palatino Linotype" w:cs="Palatino Linotype"/>
          <w:b/>
          <w:sz w:val="24"/>
          <w:szCs w:val="24"/>
        </w:rPr>
        <w:t>5440-</w:t>
      </w:r>
      <w:r w:rsidR="00672EEA">
        <w:rPr>
          <w:rFonts w:ascii="Palatino Linotype" w:eastAsia="Palatino Linotype" w:hAnsi="Palatino Linotype" w:cs="Palatino Linotype"/>
          <w:b/>
          <w:sz w:val="24"/>
          <w:szCs w:val="24"/>
        </w:rPr>
        <w:t>09</w:t>
      </w:r>
      <w:r w:rsidRPr="00B47264">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rPr>
        <w:t>Family and Consumer Sciences</w:t>
      </w:r>
    </w:p>
    <w:p w14:paraId="1E264618" w14:textId="77777777" w:rsidR="00ED3D44" w:rsidRPr="00ED3D44" w:rsidRDefault="00ED3D44" w:rsidP="00ED3D44">
      <w:pPr>
        <w:spacing w:line="240" w:lineRule="auto"/>
        <w:jc w:val="center"/>
        <w:rPr>
          <w:rFonts w:ascii="Palatino Linotype" w:eastAsia="Palatino Linotype" w:hAnsi="Palatino Linotype" w:cs="Palatino Linotype"/>
        </w:rPr>
      </w:pPr>
      <w:r w:rsidRPr="00ED3D44">
        <w:rPr>
          <w:rFonts w:ascii="Palatino Linotype" w:eastAsia="Palatino Linotype" w:hAnsi="Palatino Linotype" w:cs="Palatino Linotype"/>
        </w:rPr>
        <w:t xml:space="preserve">The holder is authorized to teach family and consumer sciences in grades 5-12 in middle and high schools. </w:t>
      </w:r>
    </w:p>
    <w:p w14:paraId="0A37501D" w14:textId="77777777" w:rsidR="00ED3D44" w:rsidRPr="00B47264" w:rsidRDefault="00ED3D44" w:rsidP="00ED3D44">
      <w:pPr>
        <w:spacing w:line="240" w:lineRule="auto"/>
        <w:rPr>
          <w:rFonts w:ascii="Palatino Linotype" w:eastAsia="Palatino Linotype" w:hAnsi="Palatino Linotype" w:cs="Palatino Linotype"/>
        </w:rPr>
      </w:pPr>
    </w:p>
    <w:p w14:paraId="1039471D" w14:textId="77777777" w:rsidR="00ED3D44" w:rsidRPr="00B47264" w:rsidRDefault="00ED3D44" w:rsidP="00ED3D44">
      <w:pPr>
        <w:spacing w:line="240" w:lineRule="auto"/>
        <w:jc w:val="center"/>
        <w:rPr>
          <w:rFonts w:ascii="Palatino Linotype" w:eastAsia="Palatino Linotype" w:hAnsi="Palatino Linotype" w:cs="Palatino Linotype"/>
          <w:b/>
        </w:rPr>
      </w:pPr>
      <w:r w:rsidRPr="00B47264">
        <w:rPr>
          <w:rFonts w:ascii="Palatino Linotype" w:eastAsia="Palatino Linotype" w:hAnsi="Palatino Linotype" w:cs="Palatino Linotype"/>
          <w:b/>
        </w:rPr>
        <w:t>Name:  __________________________________ Educator ID#: ______________________</w:t>
      </w:r>
    </w:p>
    <w:p w14:paraId="5DAB6C7B" w14:textId="77777777" w:rsidR="00ED3D44" w:rsidRPr="00B47264" w:rsidRDefault="00ED3D44" w:rsidP="00ED3D44">
      <w:pPr>
        <w:spacing w:line="240" w:lineRule="auto"/>
        <w:jc w:val="center"/>
        <w:rPr>
          <w:rFonts w:ascii="Palatino Linotype" w:eastAsia="Palatino Linotype" w:hAnsi="Palatino Linotype" w:cs="Palatino Linotype"/>
        </w:rPr>
      </w:pPr>
    </w:p>
    <w:bookmarkStart w:id="0" w:name="_Hlk21352990"/>
    <w:p w14:paraId="7526EBEB" w14:textId="77777777" w:rsidR="00ED3D44" w:rsidRPr="00B47264" w:rsidRDefault="000764A8" w:rsidP="00ED3D44">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ED3D44" w:rsidRPr="00B47264">
            <w:rPr>
              <w:rFonts w:ascii="Segoe UI Symbol" w:eastAsia="MS Gothic" w:hAnsi="Segoe UI Symbol" w:cs="Segoe UI Symbol"/>
              <w:b/>
            </w:rPr>
            <w:t>☐</w:t>
          </w:r>
        </w:sdtContent>
      </w:sdt>
      <w:r w:rsidR="00ED3D44" w:rsidRPr="00B47264">
        <w:rPr>
          <w:rFonts w:ascii="Palatino Linotype" w:eastAsia="Times New Roman" w:hAnsi="Palatino Linotype" w:cs="Times New Roman"/>
          <w:b/>
        </w:rPr>
        <w:t xml:space="preserve"> </w:t>
      </w:r>
      <w:bookmarkEnd w:id="0"/>
      <w:r w:rsidR="00ED3D44" w:rsidRPr="00B47264">
        <w:rPr>
          <w:rFonts w:ascii="Palatino Linotype" w:eastAsia="Times New Roman" w:hAnsi="Palatino Linotype" w:cs="Times New Roman"/>
          <w:b/>
        </w:rPr>
        <w:t>Add Endorsement</w:t>
      </w:r>
      <w:r w:rsidR="00ED3D44" w:rsidRPr="00B47264">
        <w:rPr>
          <w:rFonts w:ascii="Palatino Linotype" w:eastAsia="Times New Roman" w:hAnsi="Palatino Linotype" w:cs="Times New Roman"/>
          <w:b/>
        </w:rPr>
        <w:tab/>
      </w:r>
      <w:r w:rsidR="00ED3D44" w:rsidRPr="00B47264">
        <w:rPr>
          <w:rFonts w:ascii="Palatino Linotype" w:eastAsia="Times New Roman" w:hAnsi="Palatino Linotype" w:cs="Times New Roman"/>
          <w:b/>
        </w:rPr>
        <w:tab/>
      </w:r>
      <w:r w:rsidR="00ED3D44" w:rsidRPr="00B47264">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ED3D44" w:rsidRPr="00B47264">
            <w:rPr>
              <w:rFonts w:ascii="Segoe UI Symbol" w:eastAsia="MS Gothic" w:hAnsi="Segoe UI Symbol" w:cs="Segoe UI Symbol"/>
              <w:b/>
            </w:rPr>
            <w:t>☐</w:t>
          </w:r>
        </w:sdtContent>
      </w:sdt>
      <w:r w:rsidR="00ED3D44" w:rsidRPr="00B47264">
        <w:rPr>
          <w:rFonts w:ascii="Palatino Linotype" w:eastAsia="Times New Roman" w:hAnsi="Palatino Linotype" w:cs="Times New Roman"/>
          <w:b/>
        </w:rPr>
        <w:t xml:space="preserve"> Course Audit</w:t>
      </w:r>
    </w:p>
    <w:p w14:paraId="02EB378F" w14:textId="77777777" w:rsidR="00ED3D44" w:rsidRPr="00B47264" w:rsidRDefault="00ED3D44" w:rsidP="00ED3D44">
      <w:pPr>
        <w:spacing w:line="240" w:lineRule="auto"/>
        <w:jc w:val="center"/>
        <w:rPr>
          <w:rFonts w:ascii="Palatino Linotype" w:eastAsia="Times New Roman" w:hAnsi="Palatino Linotype" w:cs="Times New Roman"/>
          <w:b/>
        </w:rPr>
      </w:pPr>
    </w:p>
    <w:p w14:paraId="0BD7893E" w14:textId="77777777" w:rsidR="00ED3D44" w:rsidRPr="00B47264" w:rsidRDefault="00ED3D44" w:rsidP="00ED3D44">
      <w:pPr>
        <w:spacing w:line="240" w:lineRule="auto"/>
        <w:jc w:val="center"/>
        <w:rPr>
          <w:rFonts w:ascii="Palatino Linotype" w:eastAsia="Palatino Linotype" w:hAnsi="Palatino Linotype" w:cs="Palatino Linotype"/>
        </w:rPr>
      </w:pPr>
      <w:r w:rsidRPr="00B47264">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34A6A74B" w14:textId="77777777" w:rsidR="009030DE" w:rsidRDefault="00ED3D44" w:rsidP="00ED3D44">
      <w:pPr>
        <w:spacing w:line="240" w:lineRule="auto"/>
        <w:jc w:val="center"/>
        <w:rPr>
          <w:rFonts w:ascii="Palatino Linotype" w:eastAsia="Palatino Linotype" w:hAnsi="Palatino Linotype" w:cs="Palatino Linotype"/>
        </w:rPr>
      </w:pPr>
      <w:r w:rsidRPr="00B47264">
        <w:rPr>
          <w:rFonts w:ascii="Palatino Linotype" w:eastAsia="Palatino Linotype" w:hAnsi="Palatino Linotype" w:cs="Palatino Linotype"/>
        </w:rPr>
        <w:t xml:space="preserve">For a full list of requirements, please consult the </w:t>
      </w:r>
      <w:hyperlink r:id="rId10" w:history="1">
        <w:r w:rsidRPr="00B47264">
          <w:rPr>
            <w:rStyle w:val="Hyperlink"/>
            <w:rFonts w:ascii="Palatino Linotype" w:eastAsia="Palatino Linotype" w:hAnsi="Palatino Linotype" w:cs="Palatino Linotype"/>
          </w:rPr>
          <w:t>Rules Governing the Licensing of Educators</w:t>
        </w:r>
      </w:hyperlink>
      <w:r w:rsidRPr="00B47264">
        <w:rPr>
          <w:rFonts w:ascii="Palatino Linotype" w:eastAsia="Palatino Linotype" w:hAnsi="Palatino Linotype" w:cs="Palatino Linotype"/>
        </w:rPr>
        <w:t xml:space="preserve">. </w:t>
      </w:r>
    </w:p>
    <w:p w14:paraId="6A05A809" w14:textId="77777777" w:rsidR="00ED3D44" w:rsidRPr="00ED3D44" w:rsidRDefault="00ED3D44" w:rsidP="00ED3D44">
      <w:pPr>
        <w:spacing w:line="240" w:lineRule="auto"/>
        <w:jc w:val="center"/>
        <w:rPr>
          <w:rFonts w:ascii="Palatino Linotype" w:eastAsia="Palatino Linotype" w:hAnsi="Palatino Linotype" w:cs="Palatino Linotype"/>
        </w:rPr>
      </w:pPr>
    </w:p>
    <w:tbl>
      <w:tblPr>
        <w:tblW w:w="100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180"/>
        <w:gridCol w:w="1905"/>
        <w:gridCol w:w="1945"/>
      </w:tblGrid>
      <w:tr w:rsidR="009030DE" w:rsidRPr="00226D95" w14:paraId="7840EE19" w14:textId="77777777" w:rsidTr="432FA05F">
        <w:trPr>
          <w:tblHeader/>
          <w:jc w:val="center"/>
        </w:trPr>
        <w:tc>
          <w:tcPr>
            <w:tcW w:w="6180" w:type="dxa"/>
            <w:tcBorders>
              <w:bottom w:val="single" w:sz="4" w:space="0" w:color="000000" w:themeColor="text1"/>
            </w:tcBorders>
            <w:shd w:val="clear" w:color="auto" w:fill="CCCCCC"/>
          </w:tcPr>
          <w:p w14:paraId="291E35A2" w14:textId="77777777" w:rsidR="009030DE" w:rsidRPr="00226D95" w:rsidRDefault="009030DE" w:rsidP="00354FDD">
            <w:pPr>
              <w:keepNext/>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Content</w:t>
            </w:r>
          </w:p>
          <w:p w14:paraId="78607F21" w14:textId="77777777" w:rsidR="009030DE" w:rsidRPr="00226D95" w:rsidRDefault="009030DE" w:rsidP="00354FDD">
            <w:pPr>
              <w:keepNext/>
              <w:spacing w:line="240" w:lineRule="auto"/>
              <w:jc w:val="center"/>
              <w:rPr>
                <w:rFonts w:ascii="Palatino Linotype" w:eastAsia="Palatino Linotype" w:hAnsi="Palatino Linotype" w:cs="Palatino Linotype"/>
                <w:b/>
              </w:rPr>
            </w:pPr>
            <w:r w:rsidRPr="00226D95">
              <w:rPr>
                <w:rFonts w:ascii="Palatino Linotype" w:eastAsia="Palatino Linotype" w:hAnsi="Palatino Linotype" w:cs="Palatino Linotype"/>
                <w:b/>
                <w:sz w:val="20"/>
                <w:szCs w:val="20"/>
              </w:rPr>
              <w:t xml:space="preserve"> Topic</w:t>
            </w:r>
          </w:p>
        </w:tc>
        <w:tc>
          <w:tcPr>
            <w:tcW w:w="1905" w:type="dxa"/>
            <w:tcBorders>
              <w:bottom w:val="single" w:sz="4" w:space="0" w:color="000000" w:themeColor="text1"/>
            </w:tcBorders>
            <w:shd w:val="clear" w:color="auto" w:fill="CCCCCC"/>
          </w:tcPr>
          <w:p w14:paraId="156FD93D" w14:textId="77777777" w:rsidR="009030DE" w:rsidRPr="00226D95" w:rsidRDefault="009030DE" w:rsidP="00354FDD">
            <w:pPr>
              <w:keepNext/>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College/</w:t>
            </w:r>
          </w:p>
          <w:p w14:paraId="6FDA3865" w14:textId="77777777" w:rsidR="009030DE" w:rsidRPr="00226D95" w:rsidRDefault="009030DE" w:rsidP="00354FDD">
            <w:pPr>
              <w:keepNext/>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University</w:t>
            </w:r>
          </w:p>
        </w:tc>
        <w:tc>
          <w:tcPr>
            <w:tcW w:w="1945" w:type="dxa"/>
            <w:tcBorders>
              <w:bottom w:val="single" w:sz="4" w:space="0" w:color="000000" w:themeColor="text1"/>
            </w:tcBorders>
            <w:shd w:val="clear" w:color="auto" w:fill="CCCCCC"/>
          </w:tcPr>
          <w:p w14:paraId="36E5840A" w14:textId="77777777" w:rsidR="009030DE" w:rsidRPr="00226D95" w:rsidRDefault="009030DE" w:rsidP="00354FDD">
            <w:pPr>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Course</w:t>
            </w:r>
          </w:p>
          <w:p w14:paraId="15F94F2D" w14:textId="15FABF43" w:rsidR="009030DE" w:rsidRPr="00226D95" w:rsidRDefault="599F4FAF" w:rsidP="432FA05F">
            <w:pPr>
              <w:spacing w:line="240" w:lineRule="auto"/>
              <w:jc w:val="center"/>
              <w:rPr>
                <w:rFonts w:ascii="Palatino Linotype" w:eastAsia="Palatino Linotype" w:hAnsi="Palatino Linotype" w:cs="Palatino Linotype"/>
                <w:b/>
                <w:bCs/>
                <w:sz w:val="20"/>
                <w:szCs w:val="20"/>
              </w:rPr>
            </w:pPr>
            <w:r w:rsidRPr="432FA05F">
              <w:rPr>
                <w:rFonts w:ascii="Palatino Linotype" w:eastAsia="Palatino Linotype" w:hAnsi="Palatino Linotype" w:cs="Palatino Linotype"/>
                <w:b/>
                <w:bCs/>
                <w:sz w:val="20"/>
                <w:szCs w:val="20"/>
              </w:rPr>
              <w:t>Name/</w:t>
            </w:r>
            <w:r w:rsidR="009030DE" w:rsidRPr="432FA05F">
              <w:rPr>
                <w:rFonts w:ascii="Palatino Linotype" w:eastAsia="Palatino Linotype" w:hAnsi="Palatino Linotype" w:cs="Palatino Linotype"/>
                <w:b/>
                <w:bCs/>
                <w:sz w:val="20"/>
                <w:szCs w:val="20"/>
              </w:rPr>
              <w:t>Number</w:t>
            </w:r>
          </w:p>
        </w:tc>
      </w:tr>
      <w:tr w:rsidR="009030DE" w:rsidRPr="00226D95" w14:paraId="73A97E88" w14:textId="77777777" w:rsidTr="432FA05F">
        <w:trPr>
          <w:jc w:val="center"/>
        </w:trPr>
        <w:tc>
          <w:tcPr>
            <w:tcW w:w="10030" w:type="dxa"/>
            <w:gridSpan w:val="3"/>
            <w:shd w:val="clear" w:color="auto" w:fill="BFBFBF" w:themeFill="background1" w:themeFillShade="BF"/>
          </w:tcPr>
          <w:p w14:paraId="24AEDD93" w14:textId="77777777" w:rsidR="008D565D" w:rsidRPr="008D565D"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1. </w:t>
            </w:r>
            <w:r w:rsidRPr="008D565D">
              <w:rPr>
                <w:rFonts w:ascii="Palatino Linotype" w:eastAsiaTheme="minorHAnsi" w:hAnsi="Palatino Linotype" w:cs="Palatino Linotype"/>
                <w:b/>
                <w:color w:val="000000"/>
                <w:lang w:val="en-US"/>
              </w:rPr>
              <w:t>Knowledge Standards</w:t>
            </w:r>
            <w:r w:rsidRPr="008D565D">
              <w:rPr>
                <w:rFonts w:ascii="Palatino Linotype" w:eastAsiaTheme="minorHAnsi" w:hAnsi="Palatino Linotype" w:cs="Palatino Linotype"/>
                <w:color w:val="000000"/>
                <w:lang w:val="en-US"/>
              </w:rPr>
              <w:t xml:space="preserve">: </w:t>
            </w:r>
          </w:p>
          <w:p w14:paraId="023D5958" w14:textId="77777777" w:rsidR="009030DE" w:rsidRPr="00E058B5" w:rsidRDefault="008D565D" w:rsidP="008D565D">
            <w:pPr>
              <w:pStyle w:val="Default"/>
              <w:rPr>
                <w:sz w:val="22"/>
                <w:szCs w:val="22"/>
              </w:rPr>
            </w:pPr>
            <w:r w:rsidRPr="008D565D">
              <w:rPr>
                <w:sz w:val="22"/>
                <w:szCs w:val="22"/>
              </w:rPr>
              <w:t>Demonstrates knowledge of family and consumer sciences education concepts and skills delineated in current national professional standards including standards from the National Association of State Administrators of Family and Consumer Sciences and Jump$tart.</w:t>
            </w:r>
          </w:p>
        </w:tc>
      </w:tr>
      <w:tr w:rsidR="009030DE" w:rsidRPr="00226D95" w14:paraId="1A75E7B8" w14:textId="77777777" w:rsidTr="432FA05F">
        <w:trPr>
          <w:trHeight w:val="683"/>
          <w:jc w:val="center"/>
        </w:trPr>
        <w:tc>
          <w:tcPr>
            <w:tcW w:w="6180" w:type="dxa"/>
          </w:tcPr>
          <w:p w14:paraId="07C6E038" w14:textId="77777777" w:rsidR="009030DE" w:rsidRPr="008D565D"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1.1. Personal Development &amp; Life Planning: Personal development, life planning, and career exploration skills, including Vermont’s Transferable Skills </w:t>
            </w:r>
          </w:p>
        </w:tc>
        <w:tc>
          <w:tcPr>
            <w:tcW w:w="1905" w:type="dxa"/>
          </w:tcPr>
          <w:p w14:paraId="5A39BBE3"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41C8F396"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6F850D88" w14:textId="77777777" w:rsidTr="432FA05F">
        <w:trPr>
          <w:trHeight w:val="1133"/>
          <w:jc w:val="center"/>
        </w:trPr>
        <w:tc>
          <w:tcPr>
            <w:tcW w:w="6180" w:type="dxa"/>
          </w:tcPr>
          <w:p w14:paraId="55FBDAA5" w14:textId="77777777" w:rsidR="009030DE" w:rsidRPr="00E058B5"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1.2. Nutrition, Wellness &amp; Food Science: Principles of food science, food, sustainability and nutrition, and their relationship to growth, development, health, and wellness </w:t>
            </w:r>
          </w:p>
        </w:tc>
        <w:tc>
          <w:tcPr>
            <w:tcW w:w="1905" w:type="dxa"/>
          </w:tcPr>
          <w:p w14:paraId="60061E4C"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44EAFD9C"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50CF8A73" w14:textId="77777777" w:rsidTr="432FA05F">
        <w:trPr>
          <w:jc w:val="center"/>
        </w:trPr>
        <w:tc>
          <w:tcPr>
            <w:tcW w:w="6180" w:type="dxa"/>
          </w:tcPr>
          <w:p w14:paraId="24CCA9DE" w14:textId="77777777" w:rsidR="009030DE" w:rsidRPr="00226D95" w:rsidRDefault="008D565D" w:rsidP="008D565D">
            <w:pPr>
              <w:autoSpaceDE w:val="0"/>
              <w:autoSpaceDN w:val="0"/>
              <w:adjustRightInd w:val="0"/>
              <w:spacing w:line="240" w:lineRule="auto"/>
              <w:rPr>
                <w:rFonts w:ascii="Palatino Linotype" w:eastAsia="Palatino Linotype" w:hAnsi="Palatino Linotype" w:cs="Palatino Linotype"/>
              </w:rPr>
            </w:pPr>
            <w:r w:rsidRPr="008D565D">
              <w:rPr>
                <w:rFonts w:ascii="Palatino Linotype" w:eastAsiaTheme="minorHAnsi" w:hAnsi="Palatino Linotype" w:cs="Palatino Linotype"/>
                <w:color w:val="000000"/>
                <w:lang w:val="en-US"/>
              </w:rPr>
              <w:t xml:space="preserve">1.2.1. Understanding of nutrition principles, preparation techniques and dietary plans over the lifetime </w:t>
            </w:r>
          </w:p>
        </w:tc>
        <w:tc>
          <w:tcPr>
            <w:tcW w:w="1905" w:type="dxa"/>
          </w:tcPr>
          <w:p w14:paraId="45FB0818"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049F31CB"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2DBEF79F" w14:textId="77777777" w:rsidTr="432FA05F">
        <w:trPr>
          <w:trHeight w:val="809"/>
          <w:jc w:val="center"/>
        </w:trPr>
        <w:tc>
          <w:tcPr>
            <w:tcW w:w="6180" w:type="dxa"/>
          </w:tcPr>
          <w:p w14:paraId="43A0813E" w14:textId="77777777" w:rsidR="009030DE" w:rsidRPr="008D565D"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1.2.2. Understanding of biological, chemical and physical properties of food and food preservation methods </w:t>
            </w:r>
          </w:p>
        </w:tc>
        <w:tc>
          <w:tcPr>
            <w:tcW w:w="1905" w:type="dxa"/>
          </w:tcPr>
          <w:p w14:paraId="4B99056E" w14:textId="77777777" w:rsidR="009030DE" w:rsidRPr="00226D95" w:rsidRDefault="009030DE" w:rsidP="00354FDD">
            <w:pPr>
              <w:keepNext/>
              <w:spacing w:line="240" w:lineRule="auto"/>
              <w:rPr>
                <w:rFonts w:ascii="Palatino Linotype" w:eastAsia="Palatino Linotype" w:hAnsi="Palatino Linotype" w:cs="Palatino Linotype"/>
              </w:rPr>
            </w:pPr>
          </w:p>
        </w:tc>
        <w:tc>
          <w:tcPr>
            <w:tcW w:w="1945" w:type="dxa"/>
          </w:tcPr>
          <w:p w14:paraId="1299C43A" w14:textId="77777777" w:rsidR="009030DE" w:rsidRPr="00226D95" w:rsidRDefault="009030DE" w:rsidP="00354FDD">
            <w:pPr>
              <w:spacing w:line="240" w:lineRule="auto"/>
              <w:rPr>
                <w:rFonts w:ascii="Palatino Linotype" w:eastAsia="Palatino Linotype" w:hAnsi="Palatino Linotype" w:cs="Palatino Linotype"/>
              </w:rPr>
            </w:pPr>
          </w:p>
        </w:tc>
      </w:tr>
      <w:tr w:rsidR="009030DE" w:rsidRPr="00226D95" w14:paraId="50AEC3E9" w14:textId="77777777" w:rsidTr="432FA05F">
        <w:trPr>
          <w:jc w:val="center"/>
        </w:trPr>
        <w:tc>
          <w:tcPr>
            <w:tcW w:w="6180" w:type="dxa"/>
            <w:shd w:val="clear" w:color="auto" w:fill="auto"/>
          </w:tcPr>
          <w:p w14:paraId="0C019CAE" w14:textId="77777777" w:rsidR="009030DE" w:rsidRPr="00D735B8"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1.2.3. Understanding of kitchen lab maintenance and related equipment supplies </w:t>
            </w:r>
          </w:p>
        </w:tc>
        <w:tc>
          <w:tcPr>
            <w:tcW w:w="1905" w:type="dxa"/>
            <w:shd w:val="clear" w:color="auto" w:fill="auto"/>
          </w:tcPr>
          <w:p w14:paraId="0FB78278" w14:textId="77777777" w:rsidR="009030DE" w:rsidRPr="00226D95" w:rsidRDefault="009030DE" w:rsidP="00354FDD">
            <w:pPr>
              <w:keepNext/>
              <w:spacing w:line="240" w:lineRule="auto"/>
              <w:jc w:val="center"/>
              <w:rPr>
                <w:rFonts w:ascii="Palatino Linotype" w:eastAsia="Palatino Linotype" w:hAnsi="Palatino Linotype" w:cs="Palatino Linotype"/>
                <w:b/>
                <w:sz w:val="20"/>
                <w:szCs w:val="20"/>
              </w:rPr>
            </w:pPr>
          </w:p>
        </w:tc>
        <w:tc>
          <w:tcPr>
            <w:tcW w:w="1945" w:type="dxa"/>
            <w:shd w:val="clear" w:color="auto" w:fill="auto"/>
          </w:tcPr>
          <w:p w14:paraId="1FC39945" w14:textId="77777777" w:rsidR="009030DE" w:rsidRPr="00226D95" w:rsidRDefault="009030DE" w:rsidP="00354FDD">
            <w:pPr>
              <w:spacing w:line="240" w:lineRule="auto"/>
              <w:jc w:val="center"/>
              <w:rPr>
                <w:rFonts w:ascii="Palatino Linotype" w:eastAsia="Palatino Linotype" w:hAnsi="Palatino Linotype" w:cs="Palatino Linotype"/>
                <w:b/>
                <w:sz w:val="20"/>
                <w:szCs w:val="20"/>
              </w:rPr>
            </w:pPr>
          </w:p>
        </w:tc>
      </w:tr>
      <w:tr w:rsidR="009030DE" w:rsidRPr="00226D95" w14:paraId="336D810D" w14:textId="77777777" w:rsidTr="432FA05F">
        <w:trPr>
          <w:jc w:val="center"/>
        </w:trPr>
        <w:tc>
          <w:tcPr>
            <w:tcW w:w="6180" w:type="dxa"/>
            <w:shd w:val="clear" w:color="auto" w:fill="auto"/>
          </w:tcPr>
          <w:p w14:paraId="73FD4E76" w14:textId="77777777" w:rsidR="009030DE" w:rsidRPr="008D565D"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1.2.4. Understanding of food production and distribution </w:t>
            </w:r>
          </w:p>
        </w:tc>
        <w:tc>
          <w:tcPr>
            <w:tcW w:w="1905" w:type="dxa"/>
            <w:shd w:val="clear" w:color="auto" w:fill="auto"/>
          </w:tcPr>
          <w:p w14:paraId="6D98A12B" w14:textId="77777777" w:rsidR="009030DE" w:rsidRPr="00226D95" w:rsidRDefault="009030DE" w:rsidP="00354FDD">
            <w:pPr>
              <w:keepNext/>
              <w:spacing w:line="240" w:lineRule="auto"/>
              <w:jc w:val="center"/>
              <w:rPr>
                <w:rFonts w:ascii="Palatino Linotype" w:eastAsia="Palatino Linotype" w:hAnsi="Palatino Linotype" w:cs="Palatino Linotype"/>
                <w:b/>
                <w:sz w:val="20"/>
                <w:szCs w:val="20"/>
              </w:rPr>
            </w:pPr>
          </w:p>
        </w:tc>
        <w:tc>
          <w:tcPr>
            <w:tcW w:w="1945" w:type="dxa"/>
            <w:shd w:val="clear" w:color="auto" w:fill="auto"/>
          </w:tcPr>
          <w:p w14:paraId="2946DB82" w14:textId="77777777" w:rsidR="009030DE" w:rsidRPr="00226D95" w:rsidRDefault="009030DE" w:rsidP="00354FDD">
            <w:pPr>
              <w:spacing w:line="240" w:lineRule="auto"/>
              <w:jc w:val="center"/>
              <w:rPr>
                <w:rFonts w:ascii="Palatino Linotype" w:eastAsia="Palatino Linotype" w:hAnsi="Palatino Linotype" w:cs="Palatino Linotype"/>
                <w:b/>
                <w:sz w:val="20"/>
                <w:szCs w:val="20"/>
              </w:rPr>
            </w:pPr>
          </w:p>
        </w:tc>
      </w:tr>
      <w:tr w:rsidR="009030DE" w:rsidRPr="00226D95" w14:paraId="769CB953" w14:textId="77777777" w:rsidTr="432FA05F">
        <w:trPr>
          <w:trHeight w:val="140"/>
          <w:jc w:val="center"/>
        </w:trPr>
        <w:tc>
          <w:tcPr>
            <w:tcW w:w="6180" w:type="dxa"/>
          </w:tcPr>
          <w:p w14:paraId="484332EE" w14:textId="77777777" w:rsidR="009030DE" w:rsidRPr="00E058B5" w:rsidRDefault="00683B6B" w:rsidP="00683B6B">
            <w:pPr>
              <w:autoSpaceDE w:val="0"/>
              <w:autoSpaceDN w:val="0"/>
              <w:adjustRightInd w:val="0"/>
              <w:spacing w:line="240" w:lineRule="auto"/>
              <w:rPr>
                <w:rFonts w:ascii="Palatino Linotype" w:eastAsiaTheme="minorHAnsi" w:hAnsi="Palatino Linotype" w:cs="Palatino Linotype"/>
                <w:color w:val="000000"/>
                <w:lang w:val="en-US"/>
              </w:rPr>
            </w:pPr>
            <w:r w:rsidRPr="00683B6B">
              <w:rPr>
                <w:rFonts w:ascii="Palatino Linotype" w:eastAsiaTheme="minorHAnsi" w:hAnsi="Palatino Linotype" w:cs="Palatino Linotype"/>
                <w:color w:val="000000"/>
                <w:lang w:val="en-US"/>
              </w:rPr>
              <w:t>1.3. Consumer &amp; Resource Management: Principles and practices of consumer resource management relative to human, material, and environmental factors, with emphasis on financial literacy</w:t>
            </w:r>
          </w:p>
        </w:tc>
        <w:tc>
          <w:tcPr>
            <w:tcW w:w="1905" w:type="dxa"/>
          </w:tcPr>
          <w:p w14:paraId="3FE9F23F"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1F72F646" w14:textId="77777777" w:rsidR="009030DE" w:rsidRPr="00226D95" w:rsidRDefault="009030DE" w:rsidP="00354FDD">
            <w:pPr>
              <w:spacing w:line="240" w:lineRule="auto"/>
              <w:rPr>
                <w:rFonts w:ascii="Palatino Linotype" w:eastAsia="Palatino Linotype" w:hAnsi="Palatino Linotype" w:cs="Palatino Linotype"/>
                <w:b/>
              </w:rPr>
            </w:pPr>
          </w:p>
        </w:tc>
      </w:tr>
      <w:tr w:rsidR="00683B6B" w:rsidRPr="00226D95" w14:paraId="5B183719" w14:textId="77777777" w:rsidTr="432FA05F">
        <w:trPr>
          <w:trHeight w:val="140"/>
          <w:jc w:val="center"/>
        </w:trPr>
        <w:tc>
          <w:tcPr>
            <w:tcW w:w="6180" w:type="dxa"/>
          </w:tcPr>
          <w:p w14:paraId="01E3AC9F" w14:textId="77777777" w:rsidR="00683B6B" w:rsidRPr="00683B6B" w:rsidRDefault="00683B6B" w:rsidP="00683B6B">
            <w:pPr>
              <w:autoSpaceDE w:val="0"/>
              <w:autoSpaceDN w:val="0"/>
              <w:adjustRightInd w:val="0"/>
              <w:spacing w:line="240" w:lineRule="auto"/>
              <w:rPr>
                <w:rFonts w:ascii="Palatino Linotype" w:eastAsiaTheme="minorHAnsi" w:hAnsi="Palatino Linotype" w:cs="Palatino Linotype"/>
                <w:color w:val="000000"/>
                <w:lang w:val="en-US"/>
              </w:rPr>
            </w:pPr>
            <w:r w:rsidRPr="00683B6B">
              <w:rPr>
                <w:rFonts w:ascii="Palatino Linotype" w:eastAsiaTheme="minorHAnsi" w:hAnsi="Palatino Linotype" w:cs="Palatino Linotype"/>
                <w:color w:val="000000"/>
                <w:lang w:val="en-US"/>
              </w:rPr>
              <w:t xml:space="preserve">1.3.1. Including strategies to monitor income and expenses </w:t>
            </w:r>
          </w:p>
        </w:tc>
        <w:tc>
          <w:tcPr>
            <w:tcW w:w="1905" w:type="dxa"/>
          </w:tcPr>
          <w:p w14:paraId="07547A01" w14:textId="77777777" w:rsidR="00683B6B" w:rsidRPr="00226D95" w:rsidRDefault="00683B6B" w:rsidP="00354FDD">
            <w:pPr>
              <w:keepNext/>
              <w:spacing w:line="240" w:lineRule="auto"/>
              <w:rPr>
                <w:rFonts w:ascii="Palatino Linotype" w:eastAsia="Palatino Linotype" w:hAnsi="Palatino Linotype" w:cs="Palatino Linotype"/>
                <w:b/>
              </w:rPr>
            </w:pPr>
          </w:p>
        </w:tc>
        <w:tc>
          <w:tcPr>
            <w:tcW w:w="1945" w:type="dxa"/>
          </w:tcPr>
          <w:p w14:paraId="5043CB0F" w14:textId="77777777" w:rsidR="00683B6B" w:rsidRPr="00226D95" w:rsidRDefault="00683B6B" w:rsidP="00354FDD">
            <w:pPr>
              <w:spacing w:line="240" w:lineRule="auto"/>
              <w:rPr>
                <w:rFonts w:ascii="Palatino Linotype" w:eastAsia="Palatino Linotype" w:hAnsi="Palatino Linotype" w:cs="Palatino Linotype"/>
                <w:b/>
              </w:rPr>
            </w:pPr>
          </w:p>
        </w:tc>
      </w:tr>
      <w:tr w:rsidR="00683B6B" w:rsidRPr="00226D95" w14:paraId="7326ACF1" w14:textId="77777777" w:rsidTr="432FA05F">
        <w:trPr>
          <w:trHeight w:val="140"/>
          <w:jc w:val="center"/>
        </w:trPr>
        <w:tc>
          <w:tcPr>
            <w:tcW w:w="6180" w:type="dxa"/>
          </w:tcPr>
          <w:p w14:paraId="33E42580" w14:textId="77777777" w:rsidR="00683B6B" w:rsidRPr="00683B6B" w:rsidRDefault="00683B6B" w:rsidP="00683B6B">
            <w:pPr>
              <w:autoSpaceDE w:val="0"/>
              <w:autoSpaceDN w:val="0"/>
              <w:adjustRightInd w:val="0"/>
              <w:spacing w:line="240" w:lineRule="auto"/>
              <w:rPr>
                <w:rFonts w:ascii="Palatino Linotype" w:eastAsiaTheme="minorHAnsi" w:hAnsi="Palatino Linotype" w:cs="Palatino Linotype"/>
                <w:color w:val="000000"/>
                <w:lang w:val="en-US"/>
              </w:rPr>
            </w:pPr>
            <w:r w:rsidRPr="00683B6B">
              <w:rPr>
                <w:rFonts w:ascii="Palatino Linotype" w:eastAsiaTheme="minorHAnsi" w:hAnsi="Palatino Linotype" w:cs="Palatino Linotype"/>
                <w:color w:val="000000"/>
                <w:lang w:val="en-US"/>
              </w:rPr>
              <w:t xml:space="preserve">1.3.2. Planning for spending and saving for future goals </w:t>
            </w:r>
          </w:p>
        </w:tc>
        <w:tc>
          <w:tcPr>
            <w:tcW w:w="1905" w:type="dxa"/>
          </w:tcPr>
          <w:p w14:paraId="70DF9E56" w14:textId="77777777" w:rsidR="00683B6B" w:rsidRPr="00226D95" w:rsidRDefault="00683B6B" w:rsidP="00354FDD">
            <w:pPr>
              <w:keepNext/>
              <w:spacing w:line="240" w:lineRule="auto"/>
              <w:rPr>
                <w:rFonts w:ascii="Palatino Linotype" w:eastAsia="Palatino Linotype" w:hAnsi="Palatino Linotype" w:cs="Palatino Linotype"/>
                <w:b/>
              </w:rPr>
            </w:pPr>
          </w:p>
        </w:tc>
        <w:tc>
          <w:tcPr>
            <w:tcW w:w="1945" w:type="dxa"/>
          </w:tcPr>
          <w:p w14:paraId="44E871BC" w14:textId="77777777" w:rsidR="00683B6B" w:rsidRPr="00226D95" w:rsidRDefault="00683B6B" w:rsidP="00354FDD">
            <w:pPr>
              <w:spacing w:line="240" w:lineRule="auto"/>
              <w:rPr>
                <w:rFonts w:ascii="Palatino Linotype" w:eastAsia="Palatino Linotype" w:hAnsi="Palatino Linotype" w:cs="Palatino Linotype"/>
                <w:b/>
              </w:rPr>
            </w:pPr>
          </w:p>
        </w:tc>
      </w:tr>
      <w:tr w:rsidR="009030DE" w:rsidRPr="00226D95" w14:paraId="7B7CFB13" w14:textId="77777777" w:rsidTr="432FA05F">
        <w:trPr>
          <w:trHeight w:val="140"/>
          <w:jc w:val="center"/>
        </w:trPr>
        <w:tc>
          <w:tcPr>
            <w:tcW w:w="6180" w:type="dxa"/>
            <w:shd w:val="clear" w:color="auto" w:fill="auto"/>
          </w:tcPr>
          <w:p w14:paraId="580BB3B1" w14:textId="77777777" w:rsidR="009030DE" w:rsidRPr="008D565D" w:rsidRDefault="00683B6B" w:rsidP="00683B6B">
            <w:pPr>
              <w:autoSpaceDE w:val="0"/>
              <w:autoSpaceDN w:val="0"/>
              <w:adjustRightInd w:val="0"/>
              <w:spacing w:line="240" w:lineRule="auto"/>
              <w:rPr>
                <w:rFonts w:ascii="Palatino Linotype" w:eastAsiaTheme="minorHAnsi" w:hAnsi="Palatino Linotype" w:cs="Palatino Linotype"/>
                <w:color w:val="000000"/>
                <w:lang w:val="en-US"/>
              </w:rPr>
            </w:pPr>
            <w:r w:rsidRPr="00683B6B">
              <w:rPr>
                <w:rFonts w:ascii="Palatino Linotype" w:eastAsiaTheme="minorHAnsi" w:hAnsi="Palatino Linotype" w:cs="Palatino Linotype"/>
                <w:color w:val="000000"/>
                <w:lang w:val="en-US"/>
              </w:rPr>
              <w:t xml:space="preserve">1.3.3. Management of individual and family resources such as food, clothing, housing, health care, recreation and transportation </w:t>
            </w:r>
          </w:p>
        </w:tc>
        <w:tc>
          <w:tcPr>
            <w:tcW w:w="1905" w:type="dxa"/>
            <w:shd w:val="clear" w:color="auto" w:fill="auto"/>
          </w:tcPr>
          <w:p w14:paraId="463F29E8" w14:textId="77777777" w:rsidR="009030DE" w:rsidRPr="00226D95" w:rsidRDefault="009030DE" w:rsidP="00354FDD">
            <w:pPr>
              <w:keepNext/>
              <w:spacing w:line="240" w:lineRule="auto"/>
              <w:jc w:val="center"/>
              <w:rPr>
                <w:rFonts w:ascii="Palatino Linotype" w:eastAsia="Palatino Linotype" w:hAnsi="Palatino Linotype" w:cs="Palatino Linotype"/>
                <w:b/>
                <w:sz w:val="20"/>
                <w:szCs w:val="20"/>
              </w:rPr>
            </w:pPr>
          </w:p>
        </w:tc>
        <w:tc>
          <w:tcPr>
            <w:tcW w:w="1945" w:type="dxa"/>
            <w:shd w:val="clear" w:color="auto" w:fill="auto"/>
          </w:tcPr>
          <w:p w14:paraId="3B7B4B86" w14:textId="77777777" w:rsidR="009030DE" w:rsidRPr="00226D95" w:rsidRDefault="009030DE" w:rsidP="00354FDD">
            <w:pPr>
              <w:spacing w:line="240" w:lineRule="auto"/>
              <w:jc w:val="center"/>
              <w:rPr>
                <w:rFonts w:ascii="Palatino Linotype" w:eastAsia="Palatino Linotype" w:hAnsi="Palatino Linotype" w:cs="Palatino Linotype"/>
                <w:b/>
                <w:sz w:val="20"/>
                <w:szCs w:val="20"/>
              </w:rPr>
            </w:pPr>
          </w:p>
        </w:tc>
      </w:tr>
      <w:tr w:rsidR="00683B6B" w:rsidRPr="00226D95" w14:paraId="741BC9A7" w14:textId="77777777" w:rsidTr="432FA05F">
        <w:trPr>
          <w:trHeight w:val="1995"/>
          <w:jc w:val="center"/>
        </w:trPr>
        <w:tc>
          <w:tcPr>
            <w:tcW w:w="6180" w:type="dxa"/>
            <w:shd w:val="clear" w:color="auto" w:fill="auto"/>
          </w:tcPr>
          <w:p w14:paraId="699A6B93" w14:textId="77777777" w:rsidR="00683B6B" w:rsidRPr="00683B6B" w:rsidRDefault="00CB5E29" w:rsidP="00683B6B">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lastRenderedPageBreak/>
              <w:t xml:space="preserve">1.4. Family &amp; Interpersonal Relationships: Changing roles and needs of individuals in the context of relationships with others and within the family system; multiple factors influencing the wellbeing of families and interpersonal relationships including economic, environmental, gender, sexuality, and legal issues </w:t>
            </w:r>
          </w:p>
        </w:tc>
        <w:tc>
          <w:tcPr>
            <w:tcW w:w="1905" w:type="dxa"/>
            <w:shd w:val="clear" w:color="auto" w:fill="auto"/>
          </w:tcPr>
          <w:p w14:paraId="2BA226A1" w14:textId="77777777" w:rsidR="00683B6B" w:rsidRPr="00226D95" w:rsidRDefault="00683B6B" w:rsidP="00354FDD">
            <w:pPr>
              <w:keepNext/>
              <w:spacing w:line="240" w:lineRule="auto"/>
              <w:jc w:val="center"/>
              <w:rPr>
                <w:rFonts w:ascii="Palatino Linotype" w:eastAsia="Palatino Linotype" w:hAnsi="Palatino Linotype" w:cs="Palatino Linotype"/>
                <w:b/>
                <w:sz w:val="20"/>
                <w:szCs w:val="20"/>
              </w:rPr>
            </w:pPr>
          </w:p>
        </w:tc>
        <w:tc>
          <w:tcPr>
            <w:tcW w:w="1945" w:type="dxa"/>
            <w:shd w:val="clear" w:color="auto" w:fill="auto"/>
          </w:tcPr>
          <w:p w14:paraId="17AD93B2" w14:textId="77777777" w:rsidR="00683B6B" w:rsidRPr="00226D95" w:rsidRDefault="00683B6B" w:rsidP="00354FDD">
            <w:pPr>
              <w:spacing w:line="240" w:lineRule="auto"/>
              <w:jc w:val="center"/>
              <w:rPr>
                <w:rFonts w:ascii="Palatino Linotype" w:eastAsia="Palatino Linotype" w:hAnsi="Palatino Linotype" w:cs="Palatino Linotype"/>
                <w:b/>
                <w:sz w:val="20"/>
                <w:szCs w:val="20"/>
              </w:rPr>
            </w:pPr>
          </w:p>
        </w:tc>
      </w:tr>
      <w:tr w:rsidR="00CB5E29" w:rsidRPr="00226D95" w14:paraId="6FC48965" w14:textId="77777777" w:rsidTr="432FA05F">
        <w:trPr>
          <w:trHeight w:val="140"/>
          <w:jc w:val="center"/>
        </w:trPr>
        <w:tc>
          <w:tcPr>
            <w:tcW w:w="6180" w:type="dxa"/>
            <w:shd w:val="clear" w:color="auto" w:fill="auto"/>
          </w:tcPr>
          <w:p w14:paraId="418A7992" w14:textId="77777777" w:rsidR="00CB5E29" w:rsidRPr="00CB5E29" w:rsidRDefault="00CB5E29" w:rsidP="00683B6B">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1.5. Parenting &amp; Human Development: Human growth and development, with emphasis on early childhood development; parent/guardian roles and responsibilities </w:t>
            </w:r>
          </w:p>
        </w:tc>
        <w:tc>
          <w:tcPr>
            <w:tcW w:w="1905" w:type="dxa"/>
            <w:shd w:val="clear" w:color="auto" w:fill="auto"/>
          </w:tcPr>
          <w:p w14:paraId="6B62F1B3" w14:textId="77777777" w:rsidR="00CB5E29" w:rsidRPr="00226D95" w:rsidRDefault="00CB5E29" w:rsidP="00354FDD">
            <w:pPr>
              <w:keepNext/>
              <w:spacing w:line="240" w:lineRule="auto"/>
              <w:jc w:val="center"/>
              <w:rPr>
                <w:rFonts w:ascii="Palatino Linotype" w:eastAsia="Palatino Linotype" w:hAnsi="Palatino Linotype" w:cs="Palatino Linotype"/>
                <w:b/>
                <w:sz w:val="20"/>
                <w:szCs w:val="20"/>
              </w:rPr>
            </w:pPr>
          </w:p>
        </w:tc>
        <w:tc>
          <w:tcPr>
            <w:tcW w:w="1945" w:type="dxa"/>
            <w:shd w:val="clear" w:color="auto" w:fill="auto"/>
          </w:tcPr>
          <w:p w14:paraId="02F2C34E" w14:textId="77777777" w:rsidR="00CB5E29" w:rsidRPr="00226D95" w:rsidRDefault="00CB5E29" w:rsidP="00354FDD">
            <w:pPr>
              <w:spacing w:line="240" w:lineRule="auto"/>
              <w:jc w:val="center"/>
              <w:rPr>
                <w:rFonts w:ascii="Palatino Linotype" w:eastAsia="Palatino Linotype" w:hAnsi="Palatino Linotype" w:cs="Palatino Linotype"/>
                <w:b/>
                <w:sz w:val="20"/>
                <w:szCs w:val="20"/>
              </w:rPr>
            </w:pPr>
          </w:p>
        </w:tc>
      </w:tr>
      <w:tr w:rsidR="00CB5E29" w:rsidRPr="00226D95" w14:paraId="632D95A7" w14:textId="77777777" w:rsidTr="432FA05F">
        <w:trPr>
          <w:trHeight w:val="1245"/>
          <w:jc w:val="center"/>
        </w:trPr>
        <w:tc>
          <w:tcPr>
            <w:tcW w:w="6180" w:type="dxa"/>
            <w:shd w:val="clear" w:color="auto" w:fill="auto"/>
          </w:tcPr>
          <w:p w14:paraId="156F813F" w14:textId="77777777" w:rsidR="00CB5E29" w:rsidRPr="00CB5E29" w:rsidRDefault="00CB5E29" w:rsidP="00683B6B">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1.6. Clothing, Textiles, &amp; Related Arts: Historical, cultural, social, and other factors influencing fashion trends and individual apparel needs; clothing and textile characteristics, design, construction, and maintenance </w:t>
            </w:r>
          </w:p>
        </w:tc>
        <w:tc>
          <w:tcPr>
            <w:tcW w:w="1905" w:type="dxa"/>
            <w:shd w:val="clear" w:color="auto" w:fill="auto"/>
          </w:tcPr>
          <w:p w14:paraId="7194DBDC" w14:textId="77777777" w:rsidR="00CB5E29" w:rsidRPr="00226D95" w:rsidRDefault="00CB5E29" w:rsidP="00354FDD">
            <w:pPr>
              <w:keepNext/>
              <w:spacing w:line="240" w:lineRule="auto"/>
              <w:jc w:val="center"/>
              <w:rPr>
                <w:rFonts w:ascii="Palatino Linotype" w:eastAsia="Palatino Linotype" w:hAnsi="Palatino Linotype" w:cs="Palatino Linotype"/>
                <w:b/>
                <w:sz w:val="20"/>
                <w:szCs w:val="20"/>
              </w:rPr>
            </w:pPr>
          </w:p>
        </w:tc>
        <w:tc>
          <w:tcPr>
            <w:tcW w:w="1945" w:type="dxa"/>
            <w:shd w:val="clear" w:color="auto" w:fill="auto"/>
          </w:tcPr>
          <w:p w14:paraId="769D0D3C" w14:textId="77777777" w:rsidR="00CB5E29" w:rsidRPr="00226D95" w:rsidRDefault="00CB5E29" w:rsidP="00354FDD">
            <w:pPr>
              <w:spacing w:line="240" w:lineRule="auto"/>
              <w:jc w:val="center"/>
              <w:rPr>
                <w:rFonts w:ascii="Palatino Linotype" w:eastAsia="Palatino Linotype" w:hAnsi="Palatino Linotype" w:cs="Palatino Linotype"/>
                <w:b/>
                <w:sz w:val="20"/>
                <w:szCs w:val="20"/>
              </w:rPr>
            </w:pPr>
          </w:p>
        </w:tc>
      </w:tr>
      <w:tr w:rsidR="008D565D" w:rsidRPr="00226D95" w14:paraId="5624D0FE" w14:textId="77777777" w:rsidTr="432FA05F">
        <w:trPr>
          <w:trHeight w:val="1275"/>
          <w:jc w:val="center"/>
        </w:trPr>
        <w:tc>
          <w:tcPr>
            <w:tcW w:w="10030" w:type="dxa"/>
            <w:gridSpan w:val="3"/>
            <w:shd w:val="clear" w:color="auto" w:fill="BFBFBF" w:themeFill="background1" w:themeFillShade="BF"/>
          </w:tcPr>
          <w:p w14:paraId="6BAA85C6" w14:textId="77777777" w:rsidR="008D565D" w:rsidRPr="008D565D" w:rsidRDefault="008D565D" w:rsidP="008D565D">
            <w:pPr>
              <w:autoSpaceDE w:val="0"/>
              <w:autoSpaceDN w:val="0"/>
              <w:adjustRightInd w:val="0"/>
              <w:spacing w:line="240" w:lineRule="auto"/>
              <w:rPr>
                <w:rFonts w:ascii="Palatino Linotype" w:eastAsiaTheme="minorHAnsi" w:hAnsi="Palatino Linotype" w:cs="Palatino Linotype"/>
                <w:color w:val="000000"/>
                <w:lang w:val="en-US"/>
              </w:rPr>
            </w:pPr>
            <w:r w:rsidRPr="008D565D">
              <w:rPr>
                <w:rFonts w:ascii="Palatino Linotype" w:eastAsiaTheme="minorHAnsi" w:hAnsi="Palatino Linotype" w:cs="Palatino Linotype"/>
                <w:color w:val="000000"/>
                <w:lang w:val="en-US"/>
              </w:rPr>
              <w:t xml:space="preserve">2. </w:t>
            </w:r>
            <w:r w:rsidRPr="008D565D">
              <w:rPr>
                <w:rFonts w:ascii="Palatino Linotype" w:eastAsiaTheme="minorHAnsi" w:hAnsi="Palatino Linotype" w:cs="Palatino Linotype"/>
                <w:b/>
                <w:color w:val="000000"/>
                <w:lang w:val="en-US"/>
              </w:rPr>
              <w:t>Performance Standards</w:t>
            </w:r>
            <w:r w:rsidRPr="008D565D">
              <w:rPr>
                <w:rFonts w:ascii="Palatino Linotype" w:eastAsiaTheme="minorHAnsi" w:hAnsi="Palatino Linotype" w:cs="Palatino Linotype"/>
                <w:color w:val="000000"/>
                <w:lang w:val="en-US"/>
              </w:rPr>
              <w:t xml:space="preserve">: </w:t>
            </w:r>
          </w:p>
          <w:p w14:paraId="787B831E" w14:textId="77777777" w:rsidR="008D565D" w:rsidRPr="00226D95" w:rsidRDefault="008D565D" w:rsidP="008D565D">
            <w:pPr>
              <w:spacing w:line="240" w:lineRule="auto"/>
              <w:rPr>
                <w:rFonts w:ascii="Palatino Linotype" w:eastAsia="Palatino Linotype" w:hAnsi="Palatino Linotype" w:cs="Palatino Linotype"/>
                <w:b/>
              </w:rPr>
            </w:pPr>
            <w:r w:rsidRPr="008D565D">
              <w:rPr>
                <w:rFonts w:ascii="Palatino Linotype" w:eastAsiaTheme="minorHAnsi" w:hAnsi="Palatino Linotype" w:cs="Palatino Linotype"/>
                <w:color w:val="000000"/>
                <w:lang w:val="en-US"/>
              </w:rPr>
              <w:t>Implements a comprehensive family and consumer sciences curriculum that integrates content and process standards and enables students to acquire the knowledge, skills, and attitudes that will assist them in their personal, family, and career lives. Specifically, the educator:</w:t>
            </w:r>
          </w:p>
        </w:tc>
      </w:tr>
      <w:tr w:rsidR="009030DE" w:rsidRPr="00226D95" w14:paraId="0A05C318" w14:textId="77777777" w:rsidTr="432FA05F">
        <w:trPr>
          <w:trHeight w:val="422"/>
          <w:jc w:val="center"/>
        </w:trPr>
        <w:tc>
          <w:tcPr>
            <w:tcW w:w="6180" w:type="dxa"/>
          </w:tcPr>
          <w:p w14:paraId="65F1F2E5" w14:textId="77777777" w:rsidR="009030DE" w:rsidRPr="00E058B5" w:rsidRDefault="00CB5E29" w:rsidP="00CB5E29">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2.1. Plans, delivers, and evaluates research-based instruction that incorporates national and state standards, and student, family, community, and societal needs </w:t>
            </w:r>
          </w:p>
        </w:tc>
        <w:tc>
          <w:tcPr>
            <w:tcW w:w="1905" w:type="dxa"/>
          </w:tcPr>
          <w:p w14:paraId="30D7AA69"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7196D064"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54206A4C" w14:textId="77777777" w:rsidTr="432FA05F">
        <w:trPr>
          <w:trHeight w:val="140"/>
          <w:jc w:val="center"/>
        </w:trPr>
        <w:tc>
          <w:tcPr>
            <w:tcW w:w="6180" w:type="dxa"/>
          </w:tcPr>
          <w:p w14:paraId="4DC4DD0C" w14:textId="77777777" w:rsidR="009030DE" w:rsidRPr="00E058B5" w:rsidRDefault="00CB5E29" w:rsidP="00CB5E29">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2.2. Facilitates instruction which includes the following: analysis of recurring and evolving family, workplace, and community concerns; application of scientific inquiry to test theories and gain factual knowledge on which to base judgments; and use of reasoning processes, individually and collaboratively, to take responsible and ethical action for self, others, and society </w:t>
            </w:r>
          </w:p>
        </w:tc>
        <w:tc>
          <w:tcPr>
            <w:tcW w:w="1905" w:type="dxa"/>
          </w:tcPr>
          <w:p w14:paraId="6BD18F9B"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238601FE"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4B6429CC" w14:textId="77777777" w:rsidTr="432FA05F">
        <w:trPr>
          <w:trHeight w:val="140"/>
          <w:jc w:val="center"/>
        </w:trPr>
        <w:tc>
          <w:tcPr>
            <w:tcW w:w="6180" w:type="dxa"/>
          </w:tcPr>
          <w:p w14:paraId="4928E17A" w14:textId="77777777" w:rsidR="009030DE" w:rsidRPr="00E058B5" w:rsidRDefault="00CB5E29" w:rsidP="00CB5E29">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2.3. Creates activities which enable students to apply their knowledge of Family and Consumer Sciences to make informed decisions </w:t>
            </w:r>
          </w:p>
        </w:tc>
        <w:tc>
          <w:tcPr>
            <w:tcW w:w="1905" w:type="dxa"/>
          </w:tcPr>
          <w:p w14:paraId="0AD9C6F4"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4B1F511A"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53A0B7B9" w14:textId="77777777" w:rsidTr="432FA05F">
        <w:trPr>
          <w:trHeight w:val="70"/>
          <w:jc w:val="center"/>
        </w:trPr>
        <w:tc>
          <w:tcPr>
            <w:tcW w:w="6180" w:type="dxa"/>
          </w:tcPr>
          <w:p w14:paraId="7813F7EC" w14:textId="77777777" w:rsidR="009030DE" w:rsidRPr="00E058B5" w:rsidRDefault="00CB5E29" w:rsidP="00CB5E29">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2.4. Plans, organizes, and manages classroom laboratory experiences in accordance with state and national safety guidelines, with emphasis on equipment and food safety </w:t>
            </w:r>
          </w:p>
        </w:tc>
        <w:tc>
          <w:tcPr>
            <w:tcW w:w="1905" w:type="dxa"/>
          </w:tcPr>
          <w:p w14:paraId="562C75D1"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664355AD" w14:textId="77777777" w:rsidR="009030DE" w:rsidRPr="00226D95" w:rsidRDefault="009030DE" w:rsidP="00354FDD">
            <w:pPr>
              <w:spacing w:line="240" w:lineRule="auto"/>
              <w:rPr>
                <w:rFonts w:ascii="Palatino Linotype" w:eastAsia="Palatino Linotype" w:hAnsi="Palatino Linotype" w:cs="Palatino Linotype"/>
                <w:b/>
              </w:rPr>
            </w:pPr>
          </w:p>
        </w:tc>
      </w:tr>
      <w:tr w:rsidR="009030DE" w:rsidRPr="00226D95" w14:paraId="71BD4387" w14:textId="77777777" w:rsidTr="432FA05F">
        <w:trPr>
          <w:trHeight w:val="140"/>
          <w:jc w:val="center"/>
        </w:trPr>
        <w:tc>
          <w:tcPr>
            <w:tcW w:w="6180" w:type="dxa"/>
          </w:tcPr>
          <w:p w14:paraId="15AE3425" w14:textId="77777777" w:rsidR="009030DE" w:rsidRPr="00E058B5" w:rsidRDefault="00CB5E29" w:rsidP="00CB5E29">
            <w:pPr>
              <w:autoSpaceDE w:val="0"/>
              <w:autoSpaceDN w:val="0"/>
              <w:adjustRightInd w:val="0"/>
              <w:spacing w:line="240" w:lineRule="auto"/>
              <w:rPr>
                <w:rFonts w:ascii="Palatino Linotype" w:eastAsiaTheme="minorHAnsi" w:hAnsi="Palatino Linotype" w:cs="Palatino Linotype"/>
                <w:color w:val="000000"/>
                <w:lang w:val="en-US"/>
              </w:rPr>
            </w:pPr>
            <w:r w:rsidRPr="00CB5E29">
              <w:rPr>
                <w:rFonts w:ascii="Palatino Linotype" w:eastAsiaTheme="minorHAnsi" w:hAnsi="Palatino Linotype" w:cs="Palatino Linotype"/>
                <w:color w:val="000000"/>
                <w:lang w:val="en-US"/>
              </w:rPr>
              <w:t xml:space="preserve">2.5. Collaborates with colleagues, families, and community members to maximize instructional resources and effectiveness </w:t>
            </w:r>
          </w:p>
        </w:tc>
        <w:tc>
          <w:tcPr>
            <w:tcW w:w="1905" w:type="dxa"/>
          </w:tcPr>
          <w:p w14:paraId="1DA6542E" w14:textId="77777777" w:rsidR="009030DE" w:rsidRPr="00226D95" w:rsidRDefault="009030DE" w:rsidP="00354FDD">
            <w:pPr>
              <w:keepNext/>
              <w:spacing w:line="240" w:lineRule="auto"/>
              <w:rPr>
                <w:rFonts w:ascii="Palatino Linotype" w:eastAsia="Palatino Linotype" w:hAnsi="Palatino Linotype" w:cs="Palatino Linotype"/>
                <w:b/>
              </w:rPr>
            </w:pPr>
          </w:p>
        </w:tc>
        <w:tc>
          <w:tcPr>
            <w:tcW w:w="1945" w:type="dxa"/>
          </w:tcPr>
          <w:p w14:paraId="3041E394" w14:textId="77777777" w:rsidR="009030DE" w:rsidRPr="00226D95" w:rsidRDefault="009030DE" w:rsidP="00354FDD">
            <w:pPr>
              <w:spacing w:line="240" w:lineRule="auto"/>
              <w:rPr>
                <w:rFonts w:ascii="Palatino Linotype" w:eastAsia="Palatino Linotype" w:hAnsi="Palatino Linotype" w:cs="Palatino Linotype"/>
                <w:b/>
              </w:rPr>
            </w:pPr>
          </w:p>
        </w:tc>
      </w:tr>
    </w:tbl>
    <w:p w14:paraId="54E11D2A" w14:textId="77777777" w:rsidR="009030DE" w:rsidRPr="00226D95" w:rsidRDefault="009030DE" w:rsidP="009030DE">
      <w:pPr>
        <w:rPr>
          <w:rFonts w:ascii="Palatino Linotype" w:hAnsi="Palatino Linotype"/>
        </w:rPr>
      </w:pPr>
    </w:p>
    <w:p w14:paraId="31126E5D" w14:textId="77777777" w:rsidR="009030DE" w:rsidRPr="00226D95" w:rsidRDefault="009030DE" w:rsidP="009030DE">
      <w:pPr>
        <w:spacing w:after="160" w:line="259" w:lineRule="auto"/>
        <w:rPr>
          <w:rFonts w:ascii="Palatino Linotype" w:hAnsi="Palatino Linotype"/>
        </w:rPr>
      </w:pPr>
    </w:p>
    <w:p w14:paraId="2DE403A5" w14:textId="77777777" w:rsidR="009030DE" w:rsidRPr="00226D95" w:rsidRDefault="009030DE" w:rsidP="009030DE">
      <w:pPr>
        <w:rPr>
          <w:rFonts w:ascii="Palatino Linotype" w:hAnsi="Palatino Linotype"/>
        </w:rPr>
      </w:pPr>
    </w:p>
    <w:p w14:paraId="62431CDC" w14:textId="77777777" w:rsidR="009030DE" w:rsidRDefault="009030DE" w:rsidP="009030DE"/>
    <w:p w14:paraId="49E398E2" w14:textId="77777777" w:rsidR="009030DE" w:rsidRDefault="009030DE" w:rsidP="009030DE"/>
    <w:p w14:paraId="16287F21" w14:textId="77777777" w:rsidR="001B5A06" w:rsidRDefault="000764A8"/>
    <w:sectPr w:rsidR="001B5A06" w:rsidSect="00635B96">
      <w:headerReference w:type="default" r:id="rId11"/>
      <w:footerReference w:type="default" r:id="rId12"/>
      <w:pgSz w:w="12240" w:h="15840"/>
      <w:pgMar w:top="720" w:right="720" w:bottom="720" w:left="720" w:header="27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F2EB" w14:textId="77777777" w:rsidR="00ED3D44" w:rsidRDefault="00ED3D44" w:rsidP="00ED3D44">
      <w:pPr>
        <w:spacing w:line="240" w:lineRule="auto"/>
      </w:pPr>
      <w:r>
        <w:separator/>
      </w:r>
    </w:p>
  </w:endnote>
  <w:endnote w:type="continuationSeparator" w:id="0">
    <w:p w14:paraId="7D34F5C7" w14:textId="77777777" w:rsidR="00ED3D44" w:rsidRDefault="00ED3D44" w:rsidP="00ED3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635B96" w:rsidRPr="00714D7B" w14:paraId="3D2666B2" w14:textId="77777777" w:rsidTr="432FA05F">
      <w:trPr>
        <w:trHeight w:val="633"/>
        <w:tblHeader/>
      </w:trPr>
      <w:tc>
        <w:tcPr>
          <w:tcW w:w="3103" w:type="dxa"/>
        </w:tcPr>
        <w:p w14:paraId="1FACE36B" w14:textId="00E7F073" w:rsidR="00635B96" w:rsidRPr="00714D7B" w:rsidRDefault="432FA05F" w:rsidP="00635B96">
          <w:pPr>
            <w:rPr>
              <w:rFonts w:ascii="Palatino Linotype" w:hAnsi="Palatino Linotype"/>
              <w:sz w:val="18"/>
              <w:szCs w:val="18"/>
            </w:rPr>
          </w:pPr>
          <w:r w:rsidRPr="432FA05F">
            <w:rPr>
              <w:rFonts w:ascii="Palatino Linotype" w:hAnsi="Palatino Linotype"/>
              <w:sz w:val="18"/>
              <w:szCs w:val="18"/>
            </w:rPr>
            <w:t>Transcript Review Worksheet 10/5/21</w:t>
          </w:r>
        </w:p>
      </w:tc>
      <w:tc>
        <w:tcPr>
          <w:tcW w:w="2885" w:type="dxa"/>
        </w:tcPr>
        <w:p w14:paraId="70631400" w14:textId="77777777" w:rsidR="00635B96" w:rsidRPr="00714D7B" w:rsidRDefault="00635B96" w:rsidP="00635B96">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3</w:t>
          </w:r>
          <w:r w:rsidRPr="00714D7B">
            <w:rPr>
              <w:rFonts w:ascii="Palatino Linotype" w:hAnsi="Palatino Linotype"/>
              <w:b/>
              <w:noProof/>
              <w:sz w:val="18"/>
              <w:szCs w:val="18"/>
            </w:rPr>
            <w:fldChar w:fldCharType="end"/>
          </w:r>
        </w:p>
      </w:tc>
      <w:tc>
        <w:tcPr>
          <w:tcW w:w="3372" w:type="dxa"/>
        </w:tcPr>
        <w:p w14:paraId="4F904CB7" w14:textId="77777777" w:rsidR="00635B96" w:rsidRPr="00714D7B" w:rsidRDefault="00635B96" w:rsidP="00635B96">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0DFF798F" wp14:editId="1CE71441">
                <wp:extent cx="920017" cy="230744"/>
                <wp:effectExtent l="0" t="0" r="0" b="0"/>
                <wp:docPr id="27" name="Picture 27"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6971CD3" w14:textId="77777777" w:rsidR="00635B96" w:rsidRDefault="00635B96" w:rsidP="00635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20A7" w14:textId="77777777" w:rsidR="00ED3D44" w:rsidRDefault="00ED3D44" w:rsidP="00ED3D44">
      <w:pPr>
        <w:spacing w:line="240" w:lineRule="auto"/>
      </w:pPr>
      <w:r>
        <w:separator/>
      </w:r>
    </w:p>
  </w:footnote>
  <w:footnote w:type="continuationSeparator" w:id="0">
    <w:p w14:paraId="1D7B270A" w14:textId="77777777" w:rsidR="00ED3D44" w:rsidRDefault="00ED3D44" w:rsidP="00ED3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A62" w14:textId="77777777" w:rsidR="00ED3D44" w:rsidRDefault="00ED3D44" w:rsidP="00ED3D44">
    <w:pPr>
      <w:pStyle w:val="Header"/>
      <w:jc w:val="center"/>
    </w:pPr>
    <w:r>
      <w:rPr>
        <w:noProof/>
      </w:rPr>
      <w:drawing>
        <wp:inline distT="0" distB="0" distL="0" distR="0" wp14:anchorId="379C5F01" wp14:editId="04F5787E">
          <wp:extent cx="1614621" cy="550321"/>
          <wp:effectExtent l="0" t="0" r="5080" b="2540"/>
          <wp:docPr id="24" name="Picture 24"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0462B620" w14:textId="0FA6B328" w:rsidR="00ED3D44" w:rsidRPr="004009A8" w:rsidRDefault="00ED3D44" w:rsidP="00ED3D44">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05602</w:t>
    </w:r>
    <w:r w:rsidRPr="004009A8">
      <w:rPr>
        <w:rFonts w:ascii="Palatino Linotype" w:hAnsi="Palatino Linotype"/>
      </w:rPr>
      <w:t xml:space="preserve"> (p) 802-</w:t>
    </w:r>
    <w:r w:rsidR="000764A8">
      <w:rPr>
        <w:rFonts w:ascii="Palatino Linotype" w:hAnsi="Palatino Linotype"/>
      </w:rPr>
      <w:t>828-3440</w:t>
    </w:r>
    <w:r w:rsidRPr="004009A8">
      <w:rPr>
        <w:rFonts w:ascii="Palatino Linotype" w:hAnsi="Palatino Linotype"/>
      </w:rPr>
      <w:t xml:space="preserve"> | (f) 802-</w:t>
    </w:r>
    <w:r w:rsidR="000764A8">
      <w:rPr>
        <w:rFonts w:ascii="Palatino Linotype" w:hAnsi="Palatino Linotype"/>
      </w:rPr>
      <w:t>828-6433</w:t>
    </w:r>
  </w:p>
  <w:p w14:paraId="384BA73E" w14:textId="77777777" w:rsidR="00ED3D44" w:rsidRDefault="00ED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92D146"/>
    <w:multiLevelType w:val="hybridMultilevel"/>
    <w:tmpl w:val="3D241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7C222C"/>
    <w:multiLevelType w:val="hybridMultilevel"/>
    <w:tmpl w:val="D8EA4B12"/>
    <w:lvl w:ilvl="0" w:tplc="EF0AE9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E"/>
    <w:rsid w:val="000764A8"/>
    <w:rsid w:val="0057011C"/>
    <w:rsid w:val="00635B96"/>
    <w:rsid w:val="006516E9"/>
    <w:rsid w:val="00672EEA"/>
    <w:rsid w:val="00683B6B"/>
    <w:rsid w:val="0076727B"/>
    <w:rsid w:val="008D565D"/>
    <w:rsid w:val="009030DE"/>
    <w:rsid w:val="00970443"/>
    <w:rsid w:val="00CB5E29"/>
    <w:rsid w:val="00CE5C85"/>
    <w:rsid w:val="00ED3D44"/>
    <w:rsid w:val="00F17651"/>
    <w:rsid w:val="432FA05F"/>
    <w:rsid w:val="599F4FAF"/>
    <w:rsid w:val="5F1CEB87"/>
    <w:rsid w:val="60B8BBE8"/>
    <w:rsid w:val="7925A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1A317"/>
  <w15:chartTrackingRefBased/>
  <w15:docId w15:val="{BE7686EF-9456-4DB0-BA4E-EF616A0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D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30DE"/>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ED3D44"/>
    <w:rPr>
      <w:color w:val="0563C1" w:themeColor="hyperlink"/>
      <w:u w:val="single"/>
    </w:rPr>
  </w:style>
  <w:style w:type="paragraph" w:styleId="Header">
    <w:name w:val="header"/>
    <w:basedOn w:val="Normal"/>
    <w:link w:val="HeaderChar"/>
    <w:uiPriority w:val="99"/>
    <w:unhideWhenUsed/>
    <w:rsid w:val="00ED3D44"/>
    <w:pPr>
      <w:tabs>
        <w:tab w:val="center" w:pos="4680"/>
        <w:tab w:val="right" w:pos="9360"/>
      </w:tabs>
      <w:spacing w:line="240" w:lineRule="auto"/>
    </w:pPr>
  </w:style>
  <w:style w:type="character" w:customStyle="1" w:styleId="HeaderChar">
    <w:name w:val="Header Char"/>
    <w:basedOn w:val="DefaultParagraphFont"/>
    <w:link w:val="Header"/>
    <w:uiPriority w:val="99"/>
    <w:rsid w:val="00ED3D44"/>
    <w:rPr>
      <w:rFonts w:ascii="Arial" w:eastAsia="Arial" w:hAnsi="Arial" w:cs="Arial"/>
      <w:lang w:val="en"/>
    </w:rPr>
  </w:style>
  <w:style w:type="paragraph" w:styleId="Footer">
    <w:name w:val="footer"/>
    <w:basedOn w:val="Normal"/>
    <w:link w:val="FooterChar"/>
    <w:uiPriority w:val="99"/>
    <w:unhideWhenUsed/>
    <w:rsid w:val="00ED3D44"/>
    <w:pPr>
      <w:tabs>
        <w:tab w:val="center" w:pos="4680"/>
        <w:tab w:val="right" w:pos="9360"/>
      </w:tabs>
      <w:spacing w:line="240" w:lineRule="auto"/>
    </w:pPr>
  </w:style>
  <w:style w:type="character" w:customStyle="1" w:styleId="FooterChar">
    <w:name w:val="Footer Char"/>
    <w:basedOn w:val="DefaultParagraphFont"/>
    <w:link w:val="Footer"/>
    <w:uiPriority w:val="99"/>
    <w:rsid w:val="00ED3D44"/>
    <w:rPr>
      <w:rFonts w:ascii="Arial" w:eastAsia="Arial" w:hAnsi="Arial" w:cs="Arial"/>
      <w:lang w:val="en"/>
    </w:rPr>
  </w:style>
  <w:style w:type="paragraph" w:customStyle="1" w:styleId="AOE-Header">
    <w:name w:val="AOE - Header"/>
    <w:basedOn w:val="Normal"/>
    <w:link w:val="AOE-HeaderChar"/>
    <w:rsid w:val="00ED3D44"/>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ED3D44"/>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ED3D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44"/>
    <w:rPr>
      <w:rFonts w:ascii="Segoe UI" w:eastAsia="Arial" w:hAnsi="Segoe UI" w:cs="Segoe UI"/>
      <w:sz w:val="18"/>
      <w:szCs w:val="18"/>
      <w:lang w:val="en"/>
    </w:rPr>
  </w:style>
  <w:style w:type="table" w:styleId="TableGrid">
    <w:name w:val="Table Grid"/>
    <w:basedOn w:val="TableNormal"/>
    <w:uiPriority w:val="59"/>
    <w:rsid w:val="0063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3B22D-463B-4DD2-82A5-79FE2283F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49536-83CC-4CF0-A0CA-3C6AA245D254}">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3.xml><?xml version="1.0" encoding="utf-8"?>
<ds:datastoreItem xmlns:ds="http://schemas.openxmlformats.org/officeDocument/2006/customXml" ds:itemID="{0C493463-5FE8-4F30-B428-496C2DBC3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5</cp:revision>
  <dcterms:created xsi:type="dcterms:W3CDTF">2019-10-31T13:00:00Z</dcterms:created>
  <dcterms:modified xsi:type="dcterms:W3CDTF">2022-09-01T15:47:00Z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