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525" w:rsidRPr="00535A18" w:rsidRDefault="00E14525" w:rsidP="00E14525">
      <w:pPr>
        <w:spacing w:before="120" w:after="120"/>
        <w:jc w:val="center"/>
        <w:rPr>
          <w:rFonts w:cs="Times New Roman"/>
          <w:b/>
          <w:bCs w:val="0"/>
          <w:sz w:val="24"/>
          <w:szCs w:val="24"/>
          <w:u w:val="single"/>
        </w:rPr>
      </w:pPr>
      <w:r w:rsidRPr="00535A18">
        <w:rPr>
          <w:rFonts w:cs="Times New Roman"/>
          <w:b/>
          <w:bCs w:val="0"/>
          <w:sz w:val="24"/>
          <w:szCs w:val="24"/>
          <w:u w:val="single"/>
        </w:rPr>
        <w:t>Transcript Review Worksheet</w:t>
      </w:r>
    </w:p>
    <w:p w:rsidR="00E14525" w:rsidRPr="00535A18" w:rsidRDefault="00535A18" w:rsidP="00535A18">
      <w:pPr>
        <w:keepNext/>
        <w:spacing w:before="120" w:after="120"/>
        <w:jc w:val="center"/>
        <w:outlineLvl w:val="8"/>
        <w:rPr>
          <w:rFonts w:cs="Times New Roman"/>
          <w:b/>
          <w:bCs w:val="0"/>
          <w:sz w:val="24"/>
          <w:szCs w:val="24"/>
        </w:rPr>
      </w:pPr>
      <w:r>
        <w:rPr>
          <w:rFonts w:cs="Times New Roman"/>
          <w:b/>
          <w:bCs w:val="0"/>
          <w:sz w:val="24"/>
          <w:szCs w:val="24"/>
        </w:rPr>
        <w:t xml:space="preserve">5440- </w:t>
      </w:r>
      <w:r w:rsidR="00E14525" w:rsidRPr="00E14525">
        <w:rPr>
          <w:rFonts w:cs="Times New Roman"/>
          <w:b/>
          <w:bCs w:val="0"/>
          <w:sz w:val="24"/>
          <w:szCs w:val="24"/>
        </w:rPr>
        <w:t>39 – Bilingual Education</w:t>
      </w:r>
    </w:p>
    <w:p w:rsidR="00E14525" w:rsidRDefault="00E14525" w:rsidP="00E14525">
      <w:pPr>
        <w:autoSpaceDE w:val="0"/>
        <w:autoSpaceDN w:val="0"/>
        <w:adjustRightInd w:val="0"/>
        <w:ind w:left="-810"/>
        <w:rPr>
          <w:rFonts w:cs="Times New Roman"/>
          <w:bCs w:val="0"/>
        </w:rPr>
      </w:pPr>
      <w:r w:rsidRPr="00535A18">
        <w:rPr>
          <w:rFonts w:cs="Times New Roman"/>
          <w:bCs w:val="0"/>
        </w:rPr>
        <w:t xml:space="preserve">The holder is authorized to teach students who are English Language Learners (ELL) and/or native speakers of English, in a language other than English, as well as in English. </w:t>
      </w:r>
      <w:r w:rsidRPr="00535A18">
        <w:rPr>
          <w:rFonts w:cs="Times New Roman"/>
          <w:b/>
          <w:bCs w:val="0"/>
        </w:rPr>
        <w:t>This endorsement is limited to holders of endorsements in early childhood, elementary education, middle grades, special education, English as a Second Language, or science, social studies, mathematics, or English language arts.</w:t>
      </w:r>
      <w:r w:rsidRPr="00535A18">
        <w:rPr>
          <w:rFonts w:cs="Times New Roman"/>
          <w:bCs w:val="0"/>
        </w:rPr>
        <w:t xml:space="preserve"> The holder's language(s) of concentration and instructional level shall be indicated on the endorsement.</w:t>
      </w:r>
    </w:p>
    <w:p w:rsidR="00535A18" w:rsidRDefault="00535A18" w:rsidP="00E14525">
      <w:pPr>
        <w:autoSpaceDE w:val="0"/>
        <w:autoSpaceDN w:val="0"/>
        <w:adjustRightInd w:val="0"/>
        <w:ind w:left="-810"/>
        <w:rPr>
          <w:rFonts w:cs="Times New Roman"/>
          <w:bCs w:val="0"/>
        </w:rPr>
      </w:pPr>
    </w:p>
    <w:p w:rsidR="00535A18" w:rsidRDefault="00535A18" w:rsidP="00535A18">
      <w:pPr>
        <w:jc w:val="center"/>
        <w:rPr>
          <w:rFonts w:eastAsia="Palatino Linotype" w:cs="Palatino Linotype"/>
          <w:b/>
        </w:rPr>
      </w:pPr>
      <w:r>
        <w:rPr>
          <w:rFonts w:eastAsia="Palatino Linotype" w:cs="Palatino Linotype"/>
          <w:b/>
        </w:rPr>
        <w:t>Name:  __________________________________ Educator ID#: ______________________</w:t>
      </w:r>
    </w:p>
    <w:p w:rsidR="00535A18" w:rsidRDefault="00535A18" w:rsidP="00535A18">
      <w:pPr>
        <w:jc w:val="center"/>
        <w:rPr>
          <w:rFonts w:eastAsia="Palatino Linotype" w:cs="Palatino Linotype"/>
        </w:rPr>
      </w:pPr>
    </w:p>
    <w:p w:rsidR="00535A18" w:rsidRDefault="00535A18" w:rsidP="00535A18">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Content>
          <w:r>
            <w:rPr>
              <w:rFonts w:ascii="MS Gothic" w:eastAsia="MS Gothic" w:hAnsi="MS Gothic" w:cs="Segoe UI Symbol" w:hint="eastAsia"/>
              <w:b/>
            </w:rPr>
            <w:t>☐</w:t>
          </w:r>
        </w:sdtContent>
      </w:sdt>
      <w:r>
        <w:rPr>
          <w:rFonts w:cs="Times New Roman"/>
          <w:b/>
        </w:rPr>
        <w:t xml:space="preserve"> Add Endorsement</w:t>
      </w:r>
      <w:r>
        <w:rPr>
          <w:rFonts w:cs="Times New Roman"/>
          <w:b/>
        </w:rPr>
        <w:tab/>
      </w:r>
      <w:r>
        <w:rPr>
          <w:rFonts w:cs="Times New Roman"/>
          <w:b/>
        </w:rPr>
        <w:tab/>
      </w:r>
      <w:r>
        <w:rPr>
          <w:rFonts w:cs="Times New Roman"/>
          <w:b/>
        </w:rPr>
        <w:tab/>
      </w:r>
      <w:sdt>
        <w:sdtPr>
          <w:rPr>
            <w:rFonts w:cs="Times New Roman"/>
            <w:b/>
          </w:rPr>
          <w:id w:val="16451926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cs="Times New Roman"/>
          <w:b/>
        </w:rPr>
        <w:t xml:space="preserve"> Course Audit</w:t>
      </w:r>
    </w:p>
    <w:p w:rsidR="00535A18" w:rsidRDefault="00535A18" w:rsidP="00535A18">
      <w:pPr>
        <w:jc w:val="center"/>
        <w:rPr>
          <w:rFonts w:cs="Times New Roman"/>
          <w:b/>
        </w:rPr>
      </w:pPr>
    </w:p>
    <w:p w:rsidR="00535A18" w:rsidRDefault="00535A18" w:rsidP="00535A18">
      <w:pPr>
        <w:jc w:val="center"/>
        <w:rPr>
          <w:rFonts w:eastAsia="Palatino Linotype" w:cs="Palatino Linotype"/>
        </w:rPr>
      </w:pPr>
      <w:r>
        <w:rPr>
          <w:rFonts w:eastAsia="Palatino Linotype" w:cs="Palatino Linotype"/>
        </w:rPr>
        <w:t xml:space="preserve">Please note that the transcript review worksheets indicate only the endorsement competencies that must be met. There may be additional jurisdictional requirements. </w:t>
      </w:r>
    </w:p>
    <w:p w:rsidR="00535A18" w:rsidRPr="00CE515D" w:rsidRDefault="00535A18" w:rsidP="00535A18">
      <w:pPr>
        <w:jc w:val="center"/>
        <w:rPr>
          <w:rFonts w:eastAsia="Palatino Linotype" w:cs="Palatino Linotype"/>
          <w:i/>
        </w:rPr>
      </w:pPr>
      <w:r>
        <w:rPr>
          <w:rFonts w:eastAsia="Palatino Linotype" w:cs="Palatino Linotype"/>
        </w:rPr>
        <w:t xml:space="preserve">For a full list of requirements, please consult the </w:t>
      </w:r>
      <w:hyperlink r:id="rId8" w:history="1">
        <w:r>
          <w:rPr>
            <w:rStyle w:val="Hyperlink"/>
            <w:rFonts w:eastAsia="Palatino Linotype" w:cs="Palatino Linotype"/>
          </w:rPr>
          <w:t>Rules Governing the Licensing of Educators</w:t>
        </w:r>
      </w:hyperlink>
    </w:p>
    <w:p w:rsidR="00E14525" w:rsidRPr="00E14525" w:rsidRDefault="00E14525" w:rsidP="00E14525">
      <w:pPr>
        <w:autoSpaceDE w:val="0"/>
        <w:autoSpaceDN w:val="0"/>
        <w:adjustRightInd w:val="0"/>
        <w:rPr>
          <w:rFonts w:cs="Times New Roman"/>
          <w:bCs w:val="0"/>
          <w:i/>
          <w:iCs/>
        </w:rPr>
      </w:pPr>
    </w:p>
    <w:p w:rsidR="00E14525" w:rsidRPr="00535A18" w:rsidRDefault="00E14525" w:rsidP="00535A18">
      <w:pPr>
        <w:autoSpaceDE w:val="0"/>
        <w:autoSpaceDN w:val="0"/>
        <w:adjustRightInd w:val="0"/>
        <w:ind w:left="-720"/>
        <w:rPr>
          <w:rFonts w:cs="Times New Roman"/>
          <w:b/>
          <w:bCs w:val="0"/>
          <w:iCs/>
        </w:rPr>
      </w:pPr>
      <w:r w:rsidRPr="00E14525">
        <w:rPr>
          <w:rFonts w:cs="Times New Roman"/>
          <w:b/>
          <w:bCs w:val="0"/>
          <w:iCs/>
        </w:rPr>
        <w:t>PLEASE NOTE: THIS ENDORSEMENT DOES NOT AUTHORIZE AN INDIVIDUAL TO PROVIDE ENGLISH AS A SECOND LANGUAGE INSTRUCTION. THE ESL ENDORSEMENT IS REQUIRED TO PROVIDE ESL INSTRUCTION.</w:t>
      </w:r>
      <w:bookmarkStart w:id="0" w:name="_GoBack"/>
      <w:bookmarkEnd w:id="0"/>
    </w:p>
    <w:tbl>
      <w:tblPr>
        <w:tblpPr w:leftFromText="180" w:rightFromText="180" w:vertAnchor="text" w:horzAnchor="margin" w:tblpXSpec="center" w:tblpY="27"/>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890"/>
        <w:gridCol w:w="1080"/>
        <w:gridCol w:w="990"/>
        <w:gridCol w:w="1597"/>
      </w:tblGrid>
      <w:tr w:rsidR="00E14525" w:rsidRPr="00E14525" w:rsidTr="00535A18">
        <w:trPr>
          <w:cantSplit/>
          <w:tblHeader/>
        </w:trPr>
        <w:tc>
          <w:tcPr>
            <w:tcW w:w="5688" w:type="dxa"/>
            <w:tcBorders>
              <w:bottom w:val="single" w:sz="4" w:space="0" w:color="auto"/>
            </w:tcBorders>
            <w:shd w:val="pct20" w:color="auto" w:fill="FFFFFF"/>
          </w:tcPr>
          <w:p w:rsidR="00E14525" w:rsidRPr="00E14525" w:rsidRDefault="00E14525" w:rsidP="00E14525">
            <w:pPr>
              <w:keepNext/>
              <w:jc w:val="center"/>
              <w:outlineLvl w:val="5"/>
              <w:rPr>
                <w:rFonts w:cs="Times New Roman"/>
                <w:b/>
                <w:bCs w:val="0"/>
              </w:rPr>
            </w:pPr>
            <w:r w:rsidRPr="00E14525">
              <w:rPr>
                <w:rFonts w:cs="Times New Roman"/>
                <w:b/>
                <w:bCs w:val="0"/>
              </w:rPr>
              <w:t>Content</w:t>
            </w:r>
          </w:p>
          <w:p w:rsidR="00E14525" w:rsidRPr="00E14525" w:rsidRDefault="00E14525" w:rsidP="00E14525">
            <w:pPr>
              <w:keepNext/>
              <w:jc w:val="center"/>
              <w:outlineLvl w:val="5"/>
              <w:rPr>
                <w:rFonts w:cs="Times New Roman"/>
                <w:b/>
                <w:bCs w:val="0"/>
              </w:rPr>
            </w:pPr>
            <w:r w:rsidRPr="00E14525">
              <w:rPr>
                <w:rFonts w:cs="Times New Roman"/>
                <w:b/>
                <w:bCs w:val="0"/>
              </w:rPr>
              <w:t xml:space="preserve"> Topic</w:t>
            </w:r>
          </w:p>
        </w:tc>
        <w:tc>
          <w:tcPr>
            <w:tcW w:w="1890" w:type="dxa"/>
            <w:tcBorders>
              <w:bottom w:val="single" w:sz="4" w:space="0" w:color="auto"/>
            </w:tcBorders>
            <w:shd w:val="pct20" w:color="auto" w:fill="FFFFFF"/>
          </w:tcPr>
          <w:p w:rsidR="00E14525" w:rsidRPr="00E14525" w:rsidRDefault="00E14525" w:rsidP="00E14525">
            <w:pPr>
              <w:keepNext/>
              <w:jc w:val="center"/>
              <w:outlineLvl w:val="5"/>
              <w:rPr>
                <w:rFonts w:cs="Times New Roman"/>
                <w:b/>
                <w:bCs w:val="0"/>
              </w:rPr>
            </w:pPr>
            <w:r w:rsidRPr="00E14525">
              <w:rPr>
                <w:rFonts w:cs="Times New Roman"/>
                <w:b/>
                <w:bCs w:val="0"/>
              </w:rPr>
              <w:t>College/</w:t>
            </w:r>
          </w:p>
          <w:p w:rsidR="00E14525" w:rsidRPr="00E14525" w:rsidRDefault="00E14525" w:rsidP="00E14525">
            <w:pPr>
              <w:keepNext/>
              <w:jc w:val="center"/>
              <w:outlineLvl w:val="5"/>
              <w:rPr>
                <w:rFonts w:cs="Times New Roman"/>
                <w:b/>
                <w:bCs w:val="0"/>
              </w:rPr>
            </w:pPr>
            <w:r w:rsidRPr="00E14525">
              <w:rPr>
                <w:rFonts w:cs="Times New Roman"/>
                <w:b/>
                <w:bCs w:val="0"/>
              </w:rPr>
              <w:t>University</w:t>
            </w:r>
          </w:p>
        </w:tc>
        <w:tc>
          <w:tcPr>
            <w:tcW w:w="1080" w:type="dxa"/>
            <w:tcBorders>
              <w:bottom w:val="single" w:sz="4" w:space="0" w:color="auto"/>
            </w:tcBorders>
            <w:shd w:val="pct20" w:color="auto" w:fill="FFFFFF"/>
          </w:tcPr>
          <w:p w:rsidR="00E14525" w:rsidRPr="00E14525" w:rsidRDefault="00E14525" w:rsidP="00E14525">
            <w:pPr>
              <w:jc w:val="center"/>
              <w:rPr>
                <w:rFonts w:cs="Times New Roman"/>
                <w:b/>
                <w:bCs w:val="0"/>
              </w:rPr>
            </w:pPr>
            <w:r w:rsidRPr="00E14525">
              <w:rPr>
                <w:rFonts w:cs="Times New Roman"/>
                <w:b/>
                <w:bCs w:val="0"/>
              </w:rPr>
              <w:t>Course</w:t>
            </w:r>
          </w:p>
          <w:p w:rsidR="00E14525" w:rsidRPr="00E14525" w:rsidRDefault="00E14525" w:rsidP="00E14525">
            <w:pPr>
              <w:jc w:val="center"/>
              <w:rPr>
                <w:rFonts w:cs="Times New Roman"/>
                <w:b/>
                <w:bCs w:val="0"/>
              </w:rPr>
            </w:pPr>
            <w:r w:rsidRPr="00E14525">
              <w:rPr>
                <w:rFonts w:cs="Times New Roman"/>
                <w:b/>
                <w:bCs w:val="0"/>
              </w:rPr>
              <w:t>Number</w:t>
            </w:r>
          </w:p>
        </w:tc>
        <w:tc>
          <w:tcPr>
            <w:tcW w:w="990" w:type="dxa"/>
            <w:tcBorders>
              <w:bottom w:val="single" w:sz="4" w:space="0" w:color="auto"/>
            </w:tcBorders>
            <w:shd w:val="pct20" w:color="auto" w:fill="FFFFFF"/>
          </w:tcPr>
          <w:p w:rsidR="00E14525" w:rsidRPr="00E14525" w:rsidRDefault="00E14525" w:rsidP="00E14525">
            <w:pPr>
              <w:jc w:val="center"/>
              <w:rPr>
                <w:rFonts w:cs="Times New Roman"/>
                <w:b/>
                <w:bCs w:val="0"/>
              </w:rPr>
            </w:pPr>
            <w:r w:rsidRPr="00E14525">
              <w:rPr>
                <w:rFonts w:cs="Times New Roman"/>
                <w:b/>
                <w:bCs w:val="0"/>
              </w:rPr>
              <w:t># of Credits</w:t>
            </w:r>
          </w:p>
        </w:tc>
        <w:tc>
          <w:tcPr>
            <w:tcW w:w="1597" w:type="dxa"/>
            <w:tcBorders>
              <w:bottom w:val="single" w:sz="4" w:space="0" w:color="auto"/>
            </w:tcBorders>
            <w:shd w:val="pct20" w:color="auto" w:fill="FFFFFF"/>
            <w:vAlign w:val="center"/>
          </w:tcPr>
          <w:p w:rsidR="00E14525" w:rsidRPr="00E14525" w:rsidRDefault="00535A18" w:rsidP="00535A18">
            <w:pPr>
              <w:jc w:val="center"/>
              <w:rPr>
                <w:rFonts w:cs="Times New Roman"/>
                <w:b/>
                <w:bCs w:val="0"/>
              </w:rPr>
            </w:pPr>
            <w:r>
              <w:rPr>
                <w:rFonts w:cs="Times New Roman"/>
                <w:b/>
                <w:bCs w:val="0"/>
              </w:rPr>
              <w:t>Course Title</w:t>
            </w:r>
          </w:p>
        </w:tc>
      </w:tr>
      <w:tr w:rsidR="00E14525" w:rsidRPr="00E14525" w:rsidTr="00535A18">
        <w:trPr>
          <w:trHeight w:val="143"/>
        </w:trPr>
        <w:tc>
          <w:tcPr>
            <w:tcW w:w="5688" w:type="dxa"/>
            <w:tcBorders>
              <w:top w:val="single" w:sz="4" w:space="0" w:color="auto"/>
              <w:bottom w:val="single" w:sz="4" w:space="0" w:color="auto"/>
            </w:tcBorders>
          </w:tcPr>
          <w:p w:rsidR="00E14525" w:rsidRPr="00E14525" w:rsidRDefault="00E14525" w:rsidP="00E14525">
            <w:pPr>
              <w:autoSpaceDE w:val="0"/>
              <w:autoSpaceDN w:val="0"/>
              <w:adjustRightInd w:val="0"/>
              <w:rPr>
                <w:rFonts w:cs="Times New Roman"/>
                <w:bCs w:val="0"/>
              </w:rPr>
            </w:pPr>
            <w:r w:rsidRPr="00E14525">
              <w:rPr>
                <w:rFonts w:cs="Times New Roman"/>
                <w:bCs w:val="0"/>
              </w:rPr>
              <w:t xml:space="preserve">Knowledge Standards: </w:t>
            </w:r>
          </w:p>
        </w:tc>
        <w:tc>
          <w:tcPr>
            <w:tcW w:w="1890" w:type="dxa"/>
            <w:tcBorders>
              <w:top w:val="single" w:sz="4" w:space="0" w:color="auto"/>
              <w:bottom w:val="single" w:sz="4" w:space="0" w:color="auto"/>
            </w:tcBorders>
          </w:tcPr>
          <w:p w:rsidR="00E14525" w:rsidRPr="00E14525" w:rsidRDefault="00E14525" w:rsidP="00E14525">
            <w:pPr>
              <w:keepNext/>
              <w:jc w:val="both"/>
              <w:outlineLvl w:val="5"/>
              <w:rPr>
                <w:rFonts w:cs="Times New Roman"/>
                <w:b/>
                <w:bCs w:val="0"/>
              </w:rPr>
            </w:pPr>
          </w:p>
        </w:tc>
        <w:tc>
          <w:tcPr>
            <w:tcW w:w="108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99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1597" w:type="dxa"/>
            <w:tcBorders>
              <w:top w:val="single" w:sz="4" w:space="0" w:color="auto"/>
              <w:bottom w:val="single" w:sz="4" w:space="0" w:color="auto"/>
            </w:tcBorders>
          </w:tcPr>
          <w:p w:rsidR="00E14525" w:rsidRPr="00E14525" w:rsidRDefault="00E14525" w:rsidP="00E14525">
            <w:pPr>
              <w:jc w:val="both"/>
              <w:rPr>
                <w:rFonts w:cs="Times New Roman"/>
                <w:b/>
                <w:bCs w:val="0"/>
              </w:rPr>
            </w:pPr>
          </w:p>
        </w:tc>
      </w:tr>
      <w:tr w:rsidR="00E14525" w:rsidRPr="00E14525" w:rsidTr="00535A18">
        <w:trPr>
          <w:trHeight w:val="143"/>
        </w:trPr>
        <w:tc>
          <w:tcPr>
            <w:tcW w:w="5688" w:type="dxa"/>
            <w:tcBorders>
              <w:top w:val="single" w:sz="4" w:space="0" w:color="auto"/>
              <w:bottom w:val="single" w:sz="4" w:space="0" w:color="auto"/>
            </w:tcBorders>
          </w:tcPr>
          <w:p w:rsidR="00E14525" w:rsidRPr="00E14525" w:rsidRDefault="00E14525" w:rsidP="00E14525">
            <w:pPr>
              <w:autoSpaceDE w:val="0"/>
              <w:autoSpaceDN w:val="0"/>
              <w:adjustRightInd w:val="0"/>
              <w:rPr>
                <w:rFonts w:cs="Times New Roman"/>
                <w:bCs w:val="0"/>
                <w:color w:val="FF0000"/>
              </w:rPr>
            </w:pPr>
            <w:r w:rsidRPr="00E14525">
              <w:rPr>
                <w:rFonts w:cs="Times New Roman"/>
                <w:bCs w:val="0"/>
              </w:rPr>
              <w:t xml:space="preserve">Proficiency </w:t>
            </w:r>
            <w:r w:rsidRPr="00E14525">
              <w:rPr>
                <w:rFonts w:cs="Times New Roman"/>
                <w:bCs w:val="0"/>
                <w:i/>
              </w:rPr>
              <w:t xml:space="preserve">(defined as a minor, or eighteen credits, six of which must be at the advanced undergraduate or graduate level) </w:t>
            </w:r>
            <w:r w:rsidRPr="00E14525">
              <w:rPr>
                <w:rFonts w:cs="Times New Roman"/>
                <w:bCs w:val="0"/>
              </w:rPr>
              <w:t xml:space="preserve">in a second language, including listening, speaking, reading and writing skills. This could be shown by passage of an ACTFL exam. </w:t>
            </w:r>
          </w:p>
        </w:tc>
        <w:tc>
          <w:tcPr>
            <w:tcW w:w="1890" w:type="dxa"/>
            <w:tcBorders>
              <w:top w:val="single" w:sz="4" w:space="0" w:color="auto"/>
              <w:bottom w:val="single" w:sz="4" w:space="0" w:color="auto"/>
            </w:tcBorders>
          </w:tcPr>
          <w:p w:rsidR="00E14525" w:rsidRPr="00E14525" w:rsidRDefault="00E14525" w:rsidP="00E14525">
            <w:pPr>
              <w:keepNext/>
              <w:jc w:val="both"/>
              <w:outlineLvl w:val="5"/>
              <w:rPr>
                <w:rFonts w:cs="Times New Roman"/>
                <w:b/>
                <w:bCs w:val="0"/>
              </w:rPr>
            </w:pPr>
          </w:p>
        </w:tc>
        <w:tc>
          <w:tcPr>
            <w:tcW w:w="108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99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1597" w:type="dxa"/>
            <w:tcBorders>
              <w:top w:val="single" w:sz="4" w:space="0" w:color="auto"/>
              <w:bottom w:val="single" w:sz="4" w:space="0" w:color="auto"/>
            </w:tcBorders>
          </w:tcPr>
          <w:p w:rsidR="00E14525" w:rsidRPr="00E14525" w:rsidRDefault="00E14525" w:rsidP="00E14525">
            <w:pPr>
              <w:jc w:val="both"/>
              <w:rPr>
                <w:rFonts w:cs="Times New Roman"/>
                <w:b/>
                <w:bCs w:val="0"/>
              </w:rPr>
            </w:pPr>
          </w:p>
        </w:tc>
      </w:tr>
      <w:tr w:rsidR="00E14525" w:rsidRPr="00E14525" w:rsidTr="00535A18">
        <w:trPr>
          <w:trHeight w:val="143"/>
        </w:trPr>
        <w:tc>
          <w:tcPr>
            <w:tcW w:w="5688" w:type="dxa"/>
            <w:tcBorders>
              <w:top w:val="single" w:sz="4" w:space="0" w:color="auto"/>
              <w:left w:val="single" w:sz="4" w:space="0" w:color="auto"/>
              <w:bottom w:val="single" w:sz="4" w:space="0" w:color="auto"/>
            </w:tcBorders>
          </w:tcPr>
          <w:p w:rsidR="00E14525" w:rsidRPr="00E14525" w:rsidRDefault="00E14525" w:rsidP="00E14525">
            <w:pPr>
              <w:autoSpaceDE w:val="0"/>
              <w:autoSpaceDN w:val="0"/>
              <w:adjustRightInd w:val="0"/>
              <w:rPr>
                <w:rFonts w:cs="Times New Roman"/>
                <w:bCs w:val="0"/>
              </w:rPr>
            </w:pPr>
            <w:r w:rsidRPr="00E14525">
              <w:rPr>
                <w:rFonts w:cs="Times New Roman"/>
                <w:bCs w:val="0"/>
              </w:rPr>
              <w:t>Knowledge of the special problems and unique qualities for bilingual-multicultural education, including a respect for cultural diversity and sensitivity to the development of self-concept and special needs of children of different cultures</w:t>
            </w:r>
          </w:p>
        </w:tc>
        <w:tc>
          <w:tcPr>
            <w:tcW w:w="1890" w:type="dxa"/>
            <w:tcBorders>
              <w:top w:val="single" w:sz="4" w:space="0" w:color="auto"/>
              <w:bottom w:val="single" w:sz="4" w:space="0" w:color="auto"/>
            </w:tcBorders>
          </w:tcPr>
          <w:p w:rsidR="00E14525" w:rsidRPr="00E14525" w:rsidRDefault="00E14525" w:rsidP="00E14525">
            <w:pPr>
              <w:keepNext/>
              <w:jc w:val="both"/>
              <w:outlineLvl w:val="5"/>
              <w:rPr>
                <w:rFonts w:cs="Times New Roman"/>
                <w:b/>
                <w:bCs w:val="0"/>
              </w:rPr>
            </w:pPr>
          </w:p>
        </w:tc>
        <w:tc>
          <w:tcPr>
            <w:tcW w:w="108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99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1597" w:type="dxa"/>
            <w:tcBorders>
              <w:top w:val="single" w:sz="4" w:space="0" w:color="auto"/>
              <w:bottom w:val="single" w:sz="4" w:space="0" w:color="auto"/>
              <w:right w:val="single" w:sz="4" w:space="0" w:color="auto"/>
            </w:tcBorders>
          </w:tcPr>
          <w:p w:rsidR="00E14525" w:rsidRPr="00E14525" w:rsidRDefault="00E14525" w:rsidP="00E14525">
            <w:pPr>
              <w:jc w:val="both"/>
              <w:rPr>
                <w:rFonts w:cs="Times New Roman"/>
                <w:b/>
                <w:bCs w:val="0"/>
              </w:rPr>
            </w:pPr>
          </w:p>
        </w:tc>
      </w:tr>
      <w:tr w:rsidR="00E14525" w:rsidRPr="00E14525" w:rsidTr="00535A18">
        <w:trPr>
          <w:trHeight w:val="143"/>
        </w:trPr>
        <w:tc>
          <w:tcPr>
            <w:tcW w:w="5688" w:type="dxa"/>
            <w:tcBorders>
              <w:top w:val="single" w:sz="4" w:space="0" w:color="auto"/>
              <w:left w:val="single" w:sz="4" w:space="0" w:color="auto"/>
              <w:bottom w:val="single" w:sz="4" w:space="0" w:color="auto"/>
            </w:tcBorders>
          </w:tcPr>
          <w:p w:rsidR="00E14525" w:rsidRPr="00E14525" w:rsidRDefault="00E14525" w:rsidP="00E14525">
            <w:pPr>
              <w:autoSpaceDE w:val="0"/>
              <w:autoSpaceDN w:val="0"/>
              <w:adjustRightInd w:val="0"/>
              <w:rPr>
                <w:rFonts w:cs="Times New Roman"/>
                <w:bCs w:val="0"/>
              </w:rPr>
            </w:pPr>
            <w:r w:rsidRPr="00E14525">
              <w:rPr>
                <w:rFonts w:cs="Times New Roman"/>
                <w:bCs w:val="0"/>
              </w:rPr>
              <w:t>Knowledge of the differences between the sound systems, forms and structures of the second language and English, as well as knowledge of sociolinguistics and psycholinguistics necessary to understand the differences and commonalities between the two sound systems.</w:t>
            </w:r>
          </w:p>
        </w:tc>
        <w:tc>
          <w:tcPr>
            <w:tcW w:w="1890" w:type="dxa"/>
            <w:tcBorders>
              <w:top w:val="single" w:sz="4" w:space="0" w:color="auto"/>
              <w:bottom w:val="single" w:sz="4" w:space="0" w:color="auto"/>
            </w:tcBorders>
          </w:tcPr>
          <w:p w:rsidR="00E14525" w:rsidRPr="00E14525" w:rsidRDefault="00E14525" w:rsidP="00E14525">
            <w:pPr>
              <w:keepNext/>
              <w:jc w:val="both"/>
              <w:outlineLvl w:val="5"/>
              <w:rPr>
                <w:rFonts w:cs="Times New Roman"/>
                <w:b/>
                <w:bCs w:val="0"/>
              </w:rPr>
            </w:pPr>
          </w:p>
        </w:tc>
        <w:tc>
          <w:tcPr>
            <w:tcW w:w="108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99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1597" w:type="dxa"/>
            <w:tcBorders>
              <w:top w:val="single" w:sz="4" w:space="0" w:color="auto"/>
              <w:bottom w:val="single" w:sz="4" w:space="0" w:color="auto"/>
              <w:right w:val="single" w:sz="4" w:space="0" w:color="auto"/>
            </w:tcBorders>
          </w:tcPr>
          <w:p w:rsidR="00E14525" w:rsidRPr="00E14525" w:rsidRDefault="00E14525" w:rsidP="00E14525">
            <w:pPr>
              <w:jc w:val="both"/>
              <w:rPr>
                <w:rFonts w:cs="Times New Roman"/>
                <w:b/>
                <w:bCs w:val="0"/>
              </w:rPr>
            </w:pPr>
          </w:p>
        </w:tc>
      </w:tr>
      <w:tr w:rsidR="00E14525" w:rsidRPr="00E14525" w:rsidTr="00535A18">
        <w:trPr>
          <w:cantSplit/>
          <w:trHeight w:val="143"/>
        </w:trPr>
        <w:tc>
          <w:tcPr>
            <w:tcW w:w="5688" w:type="dxa"/>
            <w:tcBorders>
              <w:top w:val="single" w:sz="4" w:space="0" w:color="auto"/>
              <w:bottom w:val="single" w:sz="4" w:space="0" w:color="auto"/>
            </w:tcBorders>
          </w:tcPr>
          <w:p w:rsidR="00E14525" w:rsidRPr="00E14525" w:rsidRDefault="00E14525" w:rsidP="00E14525">
            <w:pPr>
              <w:autoSpaceDE w:val="0"/>
              <w:autoSpaceDN w:val="0"/>
              <w:adjustRightInd w:val="0"/>
              <w:rPr>
                <w:rFonts w:cs="Times New Roman"/>
                <w:bCs w:val="0"/>
              </w:rPr>
            </w:pPr>
            <w:r w:rsidRPr="00E14525">
              <w:rPr>
                <w:rFonts w:cs="Times New Roman"/>
                <w:bCs w:val="0"/>
              </w:rPr>
              <w:lastRenderedPageBreak/>
              <w:t>Knowledge of how to assess students' language abilities and how to adapt instructional materials to meet students' needs and abilities.</w:t>
            </w:r>
          </w:p>
        </w:tc>
        <w:tc>
          <w:tcPr>
            <w:tcW w:w="1890" w:type="dxa"/>
            <w:tcBorders>
              <w:top w:val="single" w:sz="4" w:space="0" w:color="auto"/>
              <w:bottom w:val="single" w:sz="4" w:space="0" w:color="auto"/>
            </w:tcBorders>
          </w:tcPr>
          <w:p w:rsidR="00E14525" w:rsidRPr="00E14525" w:rsidRDefault="00E14525" w:rsidP="00E14525">
            <w:pPr>
              <w:keepNext/>
              <w:jc w:val="both"/>
              <w:outlineLvl w:val="5"/>
              <w:rPr>
                <w:rFonts w:cs="Times New Roman"/>
                <w:b/>
                <w:bCs w:val="0"/>
              </w:rPr>
            </w:pPr>
          </w:p>
        </w:tc>
        <w:tc>
          <w:tcPr>
            <w:tcW w:w="108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990" w:type="dxa"/>
            <w:tcBorders>
              <w:top w:val="single" w:sz="4" w:space="0" w:color="auto"/>
              <w:bottom w:val="single" w:sz="4" w:space="0" w:color="auto"/>
            </w:tcBorders>
          </w:tcPr>
          <w:p w:rsidR="00E14525" w:rsidRPr="00E14525" w:rsidRDefault="00E14525" w:rsidP="00E14525">
            <w:pPr>
              <w:jc w:val="both"/>
              <w:rPr>
                <w:rFonts w:cs="Times New Roman"/>
                <w:b/>
                <w:bCs w:val="0"/>
              </w:rPr>
            </w:pPr>
          </w:p>
        </w:tc>
        <w:tc>
          <w:tcPr>
            <w:tcW w:w="1597" w:type="dxa"/>
            <w:tcBorders>
              <w:top w:val="single" w:sz="4" w:space="0" w:color="auto"/>
              <w:bottom w:val="single" w:sz="4" w:space="0" w:color="auto"/>
            </w:tcBorders>
          </w:tcPr>
          <w:p w:rsidR="00E14525" w:rsidRPr="00E14525" w:rsidRDefault="00E14525" w:rsidP="00E14525">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autoSpaceDE w:val="0"/>
              <w:autoSpaceDN w:val="0"/>
              <w:adjustRightInd w:val="0"/>
              <w:rPr>
                <w:rFonts w:cs="Times New Roman"/>
                <w:bCs w:val="0"/>
              </w:rPr>
            </w:pPr>
            <w:r w:rsidRPr="00E14525">
              <w:rPr>
                <w:rFonts w:cs="Times New Roman"/>
                <w:bCs w:val="0"/>
              </w:rPr>
              <w:t>Ability to:</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rPr>
                <w:rFonts w:cs="Times New Roman"/>
                <w:bCs w:val="0"/>
              </w:rPr>
            </w:pPr>
            <w:r w:rsidRPr="00E14525">
              <w:rPr>
                <w:rFonts w:cs="Times New Roman"/>
                <w:bCs w:val="0"/>
              </w:rPr>
              <w:t>Teach subject matter in the student’s dominant language, according to the students’ needs and abilities</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rPr>
                <w:rFonts w:cs="Times New Roman"/>
                <w:bCs w:val="0"/>
              </w:rPr>
            </w:pPr>
            <w:r w:rsidRPr="00E14525">
              <w:rPr>
                <w:rFonts w:cs="Times New Roman"/>
                <w:bCs w:val="0"/>
              </w:rPr>
              <w:t xml:space="preserve">Develop </w:t>
            </w:r>
            <w:proofErr w:type="gramStart"/>
            <w:r w:rsidRPr="00E14525">
              <w:rPr>
                <w:rFonts w:cs="Times New Roman"/>
                <w:bCs w:val="0"/>
              </w:rPr>
              <w:t>students</w:t>
            </w:r>
            <w:proofErr w:type="gramEnd"/>
            <w:r w:rsidRPr="00E14525">
              <w:rPr>
                <w:rFonts w:cs="Times New Roman"/>
                <w:bCs w:val="0"/>
              </w:rPr>
              <w:t xml:space="preserve"> awareness of and appreciation for cultural diversity</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rPr>
                <w:rFonts w:cs="Times New Roman"/>
                <w:bCs w:val="0"/>
              </w:rPr>
            </w:pPr>
            <w:r w:rsidRPr="00E14525">
              <w:rPr>
                <w:rFonts w:cs="Times New Roman"/>
                <w:bCs w:val="0"/>
              </w:rPr>
              <w:t>To assist students in maintaining and extending identification with and pride in their first culture, while at the same time facilitating learning to be successful in the dominant culture</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rPr>
                <w:rFonts w:cs="Times New Roman"/>
                <w:bCs w:val="0"/>
              </w:rPr>
            </w:pPr>
            <w:r w:rsidRPr="00E14525">
              <w:rPr>
                <w:rFonts w:cs="Times New Roman"/>
                <w:bCs w:val="0"/>
              </w:rPr>
              <w:t>To assist students in maintaining and extending their command of their first language as well as the English language</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rPr>
                <w:rFonts w:cs="Times New Roman"/>
                <w:bCs w:val="0"/>
              </w:rPr>
            </w:pPr>
            <w:r w:rsidRPr="00E14525">
              <w:rPr>
                <w:rFonts w:cs="Times New Roman"/>
                <w:bCs w:val="0"/>
              </w:rPr>
              <w:t>To involve students in the culture and history of the ancestry to help develop their understanding of the contribution of the cultural or ethnic group to American culture, history and lifestyle</w:t>
            </w:r>
          </w:p>
          <w:p w:rsidR="00535A18" w:rsidRPr="00E14525" w:rsidRDefault="00535A18" w:rsidP="00535A18">
            <w:pPr>
              <w:autoSpaceDE w:val="0"/>
              <w:autoSpaceDN w:val="0"/>
              <w:adjustRightInd w:val="0"/>
              <w:ind w:left="720"/>
              <w:rPr>
                <w:rFonts w:cs="Times New Roman"/>
                <w:bCs w:val="0"/>
              </w:rPr>
            </w:pP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contextualSpacing/>
              <w:rPr>
                <w:rFonts w:cs="Times New Roman"/>
                <w:bCs w:val="0"/>
              </w:rPr>
            </w:pPr>
            <w:r w:rsidRPr="00E14525">
              <w:rPr>
                <w:rFonts w:cs="Times New Roman"/>
                <w:bCs w:val="0"/>
              </w:rPr>
              <w:t>To identify cultural biases in existing curricula, materials, and/or teaching techniques and to modify these as appropriate</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contextualSpacing/>
              <w:rPr>
                <w:rFonts w:cs="Times New Roman"/>
                <w:bCs w:val="0"/>
              </w:rPr>
            </w:pPr>
            <w:r w:rsidRPr="00E14525">
              <w:rPr>
                <w:rFonts w:cs="Times New Roman"/>
                <w:bCs w:val="0"/>
              </w:rPr>
              <w:t>To foster the relationship between families of bilingual students and the schools</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r w:rsidR="00535A18" w:rsidRPr="00E14525" w:rsidTr="00535A18">
        <w:trPr>
          <w:cantSplit/>
          <w:trHeight w:val="143"/>
        </w:trPr>
        <w:tc>
          <w:tcPr>
            <w:tcW w:w="5688" w:type="dxa"/>
            <w:tcBorders>
              <w:top w:val="single" w:sz="4" w:space="0" w:color="auto"/>
              <w:bottom w:val="single" w:sz="4" w:space="0" w:color="auto"/>
            </w:tcBorders>
          </w:tcPr>
          <w:p w:rsidR="00535A18" w:rsidRPr="00E14525" w:rsidRDefault="00535A18" w:rsidP="00535A18">
            <w:pPr>
              <w:numPr>
                <w:ilvl w:val="0"/>
                <w:numId w:val="27"/>
              </w:numPr>
              <w:autoSpaceDE w:val="0"/>
              <w:autoSpaceDN w:val="0"/>
              <w:adjustRightInd w:val="0"/>
              <w:contextualSpacing/>
              <w:rPr>
                <w:rFonts w:cs="Times New Roman"/>
                <w:bCs w:val="0"/>
              </w:rPr>
            </w:pPr>
            <w:r w:rsidRPr="00E14525">
              <w:rPr>
                <w:rFonts w:cs="Times New Roman"/>
                <w:bCs w:val="0"/>
              </w:rPr>
              <w:t>To stimulate community participation in the school program and to enhance sociocultural exchanges among all groups</w:t>
            </w:r>
          </w:p>
        </w:tc>
        <w:tc>
          <w:tcPr>
            <w:tcW w:w="1890" w:type="dxa"/>
            <w:tcBorders>
              <w:top w:val="single" w:sz="4" w:space="0" w:color="auto"/>
              <w:bottom w:val="single" w:sz="4" w:space="0" w:color="auto"/>
            </w:tcBorders>
          </w:tcPr>
          <w:p w:rsidR="00535A18" w:rsidRPr="00E14525" w:rsidRDefault="00535A18" w:rsidP="00535A18">
            <w:pPr>
              <w:keepNext/>
              <w:jc w:val="both"/>
              <w:outlineLvl w:val="5"/>
              <w:rPr>
                <w:rFonts w:cs="Times New Roman"/>
                <w:b/>
                <w:bCs w:val="0"/>
              </w:rPr>
            </w:pPr>
          </w:p>
        </w:tc>
        <w:tc>
          <w:tcPr>
            <w:tcW w:w="108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990" w:type="dxa"/>
            <w:tcBorders>
              <w:top w:val="single" w:sz="4" w:space="0" w:color="auto"/>
              <w:bottom w:val="single" w:sz="4" w:space="0" w:color="auto"/>
            </w:tcBorders>
          </w:tcPr>
          <w:p w:rsidR="00535A18" w:rsidRPr="00E14525" w:rsidRDefault="00535A18" w:rsidP="00535A18">
            <w:pPr>
              <w:jc w:val="both"/>
              <w:rPr>
                <w:rFonts w:cs="Times New Roman"/>
                <w:b/>
                <w:bCs w:val="0"/>
              </w:rPr>
            </w:pPr>
          </w:p>
        </w:tc>
        <w:tc>
          <w:tcPr>
            <w:tcW w:w="1597" w:type="dxa"/>
            <w:tcBorders>
              <w:top w:val="single" w:sz="4" w:space="0" w:color="auto"/>
              <w:bottom w:val="single" w:sz="4" w:space="0" w:color="auto"/>
            </w:tcBorders>
          </w:tcPr>
          <w:p w:rsidR="00535A18" w:rsidRPr="00E14525" w:rsidRDefault="00535A18" w:rsidP="00535A18">
            <w:pPr>
              <w:jc w:val="both"/>
              <w:rPr>
                <w:rFonts w:cs="Times New Roman"/>
                <w:b/>
                <w:bCs w:val="0"/>
              </w:rPr>
            </w:pPr>
          </w:p>
        </w:tc>
      </w:tr>
    </w:tbl>
    <w:p w:rsidR="00E14525" w:rsidRDefault="00E14525"/>
    <w:p w:rsidR="00F90A87" w:rsidRDefault="00F90A87" w:rsidP="00F2187D">
      <w:pPr>
        <w:pStyle w:val="Title"/>
      </w:pPr>
    </w:p>
    <w:sectPr w:rsidR="00F90A87" w:rsidSect="00256309">
      <w:footerReference w:type="default" r:id="rId9"/>
      <w:headerReference w:type="first" r:id="rId10"/>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311" w:rsidRDefault="000F2311" w:rsidP="004062C7">
      <w:r>
        <w:separator/>
      </w:r>
    </w:p>
  </w:endnote>
  <w:endnote w:type="continuationSeparator" w:id="0">
    <w:p w:rsidR="000F2311" w:rsidRDefault="000F2311"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altName w:val="Arial Narrow Bold"/>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965"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5089"/>
      <w:gridCol w:w="1590"/>
      <w:gridCol w:w="3646"/>
    </w:tblGrid>
    <w:tr w:rsidR="00796D5F" w:rsidTr="00E14525">
      <w:trPr>
        <w:cantSplit/>
        <w:trHeight w:val="633"/>
        <w:tblHeader/>
      </w:trPr>
      <w:tc>
        <w:tcPr>
          <w:tcW w:w="5213" w:type="dxa"/>
        </w:tcPr>
        <w:p w:rsidR="00796D5F" w:rsidRDefault="00E14525" w:rsidP="00796D5F">
          <w:pPr>
            <w:rPr>
              <w:sz w:val="20"/>
            </w:rPr>
          </w:pPr>
          <w:r>
            <w:rPr>
              <w:sz w:val="20"/>
            </w:rPr>
            <w:t xml:space="preserve">Transcript Review Worksheet </w:t>
          </w:r>
        </w:p>
        <w:p w:rsidR="00535A18" w:rsidRPr="00937FFC" w:rsidRDefault="00535A18" w:rsidP="00796D5F">
          <w:pPr>
            <w:rPr>
              <w:sz w:val="20"/>
            </w:rPr>
          </w:pPr>
          <w:r>
            <w:rPr>
              <w:sz w:val="20"/>
            </w:rPr>
            <w:t>2/19/20</w:t>
          </w:r>
        </w:p>
      </w:tc>
      <w:tc>
        <w:tcPr>
          <w:tcW w:w="162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F2187D">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F2187D" w:rsidRPr="00F2187D">
            <w:rPr>
              <w:b/>
              <w:noProof/>
              <w:sz w:val="20"/>
            </w:rPr>
            <w:t>2</w:t>
          </w:r>
          <w:r w:rsidRPr="00937FFC">
            <w:rPr>
              <w:b/>
              <w:noProof/>
              <w:sz w:val="20"/>
            </w:rPr>
            <w:fldChar w:fldCharType="end"/>
          </w:r>
        </w:p>
      </w:tc>
      <w:tc>
        <w:tcPr>
          <w:tcW w:w="3708" w:type="dxa"/>
        </w:tcPr>
        <w:p w:rsidR="00796D5F" w:rsidRPr="00937FFC" w:rsidRDefault="00796D5F" w:rsidP="00796D5F">
          <w:pPr>
            <w:jc w:val="right"/>
            <w:rPr>
              <w:sz w:val="20"/>
              <w:szCs w:val="18"/>
            </w:rPr>
          </w:pPr>
          <w:r w:rsidRPr="00937FFC">
            <w:rPr>
              <w:noProof/>
              <w:sz w:val="20"/>
            </w:rPr>
            <w:drawing>
              <wp:inline distT="0" distB="0" distL="0" distR="0" wp14:anchorId="2EF9A5FD" wp14:editId="3A619BE0">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311" w:rsidRDefault="000F2311" w:rsidP="004062C7">
      <w:r>
        <w:separator/>
      </w:r>
    </w:p>
  </w:footnote>
  <w:footnote w:type="continuationSeparator" w:id="0">
    <w:p w:rsidR="000F2311" w:rsidRDefault="000F2311"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A18" w:rsidRDefault="00535A18" w:rsidP="00535A18">
    <w:pPr>
      <w:pStyle w:val="Header"/>
      <w:jc w:val="center"/>
    </w:pPr>
    <w:r>
      <w:rPr>
        <w:noProof/>
      </w:rPr>
      <w:drawing>
        <wp:inline distT="0" distB="0" distL="0" distR="0" wp14:anchorId="05D5660A" wp14:editId="66B83E69">
          <wp:extent cx="1612900" cy="552450"/>
          <wp:effectExtent l="0" t="0" r="6350" b="0"/>
          <wp:docPr id="12" name="Picture 12"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 Vermont agency of education educator quality division&#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552450"/>
                  </a:xfrm>
                  <a:prstGeom prst="rect">
                    <a:avLst/>
                  </a:prstGeom>
                  <a:noFill/>
                  <a:ln>
                    <a:noFill/>
                  </a:ln>
                </pic:spPr>
              </pic:pic>
            </a:graphicData>
          </a:graphic>
        </wp:inline>
      </w:drawing>
    </w:r>
  </w:p>
  <w:p w:rsidR="00535A18" w:rsidRDefault="00535A18" w:rsidP="00535A18">
    <w:pPr>
      <w:pStyle w:val="AOE-Header"/>
    </w:pPr>
    <w:r>
      <w:rPr>
        <w:shd w:val="clear" w:color="auto" w:fill="FFFFFF"/>
      </w:rPr>
      <w:t>1 National Life Drive, Davis 5</w:t>
    </w:r>
    <w:r>
      <w:br/>
    </w:r>
    <w:r>
      <w:rPr>
        <w:shd w:val="clear" w:color="auto" w:fill="FFFFFF"/>
      </w:rPr>
      <w:t>Montpelier, VT 05620</w:t>
    </w:r>
    <w:r>
      <w:t xml:space="preserve"> (p) 802-828-1130 | (f) 802-828-6430</w:t>
    </w:r>
  </w:p>
  <w:p w:rsidR="002237E0" w:rsidRPr="00535A18" w:rsidRDefault="002237E0" w:rsidP="0053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B6523D"/>
    <w:multiLevelType w:val="hybridMultilevel"/>
    <w:tmpl w:val="FD1CB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1"/>
  </w:num>
  <w:num w:numId="3">
    <w:abstractNumId w:val="20"/>
  </w:num>
  <w:num w:numId="4">
    <w:abstractNumId w:val="16"/>
  </w:num>
  <w:num w:numId="5">
    <w:abstractNumId w:val="17"/>
  </w:num>
  <w:num w:numId="6">
    <w:abstractNumId w:val="4"/>
  </w:num>
  <w:num w:numId="7">
    <w:abstractNumId w:val="0"/>
  </w:num>
  <w:num w:numId="8">
    <w:abstractNumId w:val="12"/>
  </w:num>
  <w:num w:numId="9">
    <w:abstractNumId w:val="15"/>
  </w:num>
  <w:num w:numId="10">
    <w:abstractNumId w:val="23"/>
  </w:num>
  <w:num w:numId="11">
    <w:abstractNumId w:val="13"/>
  </w:num>
  <w:num w:numId="12">
    <w:abstractNumId w:val="6"/>
  </w:num>
  <w:num w:numId="13">
    <w:abstractNumId w:val="25"/>
  </w:num>
  <w:num w:numId="14">
    <w:abstractNumId w:val="7"/>
  </w:num>
  <w:num w:numId="15">
    <w:abstractNumId w:val="24"/>
  </w:num>
  <w:num w:numId="16">
    <w:abstractNumId w:val="3"/>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21"/>
  </w:num>
  <w:num w:numId="25">
    <w:abstractNumId w:val="1"/>
  </w:num>
  <w:num w:numId="26">
    <w:abstractNumId w:val="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E14525"/>
    <w:rsid w:val="00062DFA"/>
    <w:rsid w:val="000F2311"/>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B7F81"/>
    <w:rsid w:val="003D0155"/>
    <w:rsid w:val="003D090F"/>
    <w:rsid w:val="004062C7"/>
    <w:rsid w:val="00442899"/>
    <w:rsid w:val="00444A7A"/>
    <w:rsid w:val="00490247"/>
    <w:rsid w:val="004A7AD0"/>
    <w:rsid w:val="004B7F41"/>
    <w:rsid w:val="00500232"/>
    <w:rsid w:val="00535A18"/>
    <w:rsid w:val="005464E9"/>
    <w:rsid w:val="0056727F"/>
    <w:rsid w:val="00575711"/>
    <w:rsid w:val="005A2F07"/>
    <w:rsid w:val="005D1A81"/>
    <w:rsid w:val="005D7389"/>
    <w:rsid w:val="005D7ABB"/>
    <w:rsid w:val="006062D9"/>
    <w:rsid w:val="00626212"/>
    <w:rsid w:val="0063049A"/>
    <w:rsid w:val="00651E8D"/>
    <w:rsid w:val="006703F6"/>
    <w:rsid w:val="006F698F"/>
    <w:rsid w:val="00721DF9"/>
    <w:rsid w:val="00734368"/>
    <w:rsid w:val="00746838"/>
    <w:rsid w:val="007963EC"/>
    <w:rsid w:val="00796D5F"/>
    <w:rsid w:val="007D17B1"/>
    <w:rsid w:val="007D5E67"/>
    <w:rsid w:val="007E3BD6"/>
    <w:rsid w:val="0082162E"/>
    <w:rsid w:val="00865A62"/>
    <w:rsid w:val="0087647A"/>
    <w:rsid w:val="008C332D"/>
    <w:rsid w:val="008F6F90"/>
    <w:rsid w:val="0092656D"/>
    <w:rsid w:val="00937F53"/>
    <w:rsid w:val="00937FFC"/>
    <w:rsid w:val="0094350D"/>
    <w:rsid w:val="00961A6D"/>
    <w:rsid w:val="009D24B2"/>
    <w:rsid w:val="009D4528"/>
    <w:rsid w:val="00A1547A"/>
    <w:rsid w:val="00A24AEB"/>
    <w:rsid w:val="00A566EB"/>
    <w:rsid w:val="00A92164"/>
    <w:rsid w:val="00AD4B66"/>
    <w:rsid w:val="00AF33BA"/>
    <w:rsid w:val="00AF602B"/>
    <w:rsid w:val="00B04C63"/>
    <w:rsid w:val="00B25D38"/>
    <w:rsid w:val="00B25DEC"/>
    <w:rsid w:val="00B6001B"/>
    <w:rsid w:val="00BD7ABE"/>
    <w:rsid w:val="00BE43B0"/>
    <w:rsid w:val="00CB29BB"/>
    <w:rsid w:val="00CC230C"/>
    <w:rsid w:val="00D04EC2"/>
    <w:rsid w:val="00D064CA"/>
    <w:rsid w:val="00D22EA0"/>
    <w:rsid w:val="00D41020"/>
    <w:rsid w:val="00DE7FA2"/>
    <w:rsid w:val="00E14525"/>
    <w:rsid w:val="00E2171D"/>
    <w:rsid w:val="00E606BA"/>
    <w:rsid w:val="00E773E9"/>
    <w:rsid w:val="00EB2240"/>
    <w:rsid w:val="00ED3A89"/>
    <w:rsid w:val="00F2187D"/>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D19D9"/>
  <w15:docId w15:val="{86CF4C37-A8C4-43A4-A3AA-DA392D6D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educator-quality-licensing-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DD79-08E1-4AEF-974C-E87A424F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Bilingual Education</dc:title>
  <dc:creator>Kara Mayo</dc:creator>
  <cp:keywords/>
  <cp:lastModifiedBy>Gile, Rebecca</cp:lastModifiedBy>
  <cp:revision>2</cp:revision>
  <cp:lastPrinted>2015-09-09T16:37:00Z</cp:lastPrinted>
  <dcterms:created xsi:type="dcterms:W3CDTF">2020-02-19T17:40:00Z</dcterms:created>
  <dcterms:modified xsi:type="dcterms:W3CDTF">2020-02-19T17:40:00Z</dcterms:modified>
</cp:coreProperties>
</file>