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1835B" w14:textId="77777777" w:rsidR="005D1999" w:rsidRPr="00006EC1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>VSBPE</w:t>
      </w:r>
    </w:p>
    <w:p w14:paraId="384919E5" w14:textId="7269B987" w:rsidR="005D1999" w:rsidRPr="00006EC1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 xml:space="preserve">Date: </w:t>
      </w:r>
      <w:r w:rsidR="00870098">
        <w:rPr>
          <w:rFonts w:ascii="Palatino Linotype" w:hAnsi="Palatino Linotype"/>
          <w:b/>
          <w:sz w:val="24"/>
          <w:szCs w:val="24"/>
        </w:rPr>
        <w:t>Oct. 14</w:t>
      </w:r>
      <w:r>
        <w:rPr>
          <w:rFonts w:ascii="Palatino Linotype" w:hAnsi="Palatino Linotype"/>
          <w:b/>
          <w:sz w:val="24"/>
          <w:szCs w:val="24"/>
        </w:rPr>
        <w:t>, 2021</w:t>
      </w:r>
    </w:p>
    <w:p w14:paraId="677325E1" w14:textId="42C8DD4B" w:rsidR="005D1999" w:rsidRPr="005E7622" w:rsidRDefault="005D1999" w:rsidP="005D1999">
      <w:pPr>
        <w:spacing w:after="0"/>
        <w:rPr>
          <w:rFonts w:ascii="Palatino Linotype" w:hAnsi="Palatino Linotype"/>
          <w:bCs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 xml:space="preserve">Item: </w:t>
      </w:r>
      <w:bookmarkStart w:id="0" w:name="_Hlk25579822"/>
      <w:r w:rsidR="007767B6">
        <w:rPr>
          <w:rFonts w:ascii="Palatino Linotype" w:hAnsi="Palatino Linotype"/>
          <w:b/>
          <w:sz w:val="24"/>
          <w:szCs w:val="24"/>
        </w:rPr>
        <w:t>Questions Re</w:t>
      </w:r>
      <w:r w:rsidR="00650284">
        <w:rPr>
          <w:rFonts w:ascii="Palatino Linotype" w:hAnsi="Palatino Linotype"/>
          <w:b/>
          <w:sz w:val="24"/>
          <w:szCs w:val="24"/>
        </w:rPr>
        <w:t>: Student Teaching 2021-2022</w:t>
      </w:r>
    </w:p>
    <w:bookmarkEnd w:id="0"/>
    <w:p w14:paraId="478111B6" w14:textId="77777777" w:rsidR="005D1999" w:rsidRPr="00006EC1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</w:p>
    <w:p w14:paraId="3D915F50" w14:textId="75BA9BD7" w:rsidR="005D1999" w:rsidRPr="00213F24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 xml:space="preserve">ITEM: </w:t>
      </w:r>
      <w:r w:rsidRPr="00006EC1">
        <w:rPr>
          <w:rFonts w:ascii="Palatino Linotype" w:hAnsi="Palatino Linotype"/>
          <w:sz w:val="24"/>
          <w:szCs w:val="24"/>
        </w:rPr>
        <w:t>Shall the VSBPE</w:t>
      </w:r>
      <w:r w:rsidR="005E7622">
        <w:rPr>
          <w:rFonts w:ascii="Palatino Linotype" w:hAnsi="Palatino Linotype"/>
          <w:sz w:val="24"/>
          <w:szCs w:val="24"/>
        </w:rPr>
        <w:t xml:space="preserve"> </w:t>
      </w:r>
      <w:r w:rsidR="00D17CE3">
        <w:rPr>
          <w:rFonts w:ascii="Palatino Linotype" w:hAnsi="Palatino Linotype"/>
          <w:sz w:val="24"/>
          <w:szCs w:val="24"/>
        </w:rPr>
        <w:t xml:space="preserve">make any allowances for flexibility to the student teaching requirements due to </w:t>
      </w:r>
      <w:r w:rsidR="008B66D4">
        <w:rPr>
          <w:rFonts w:ascii="Palatino Linotype" w:hAnsi="Palatino Linotype"/>
          <w:sz w:val="24"/>
          <w:szCs w:val="24"/>
        </w:rPr>
        <w:t>Covid during the 2021-2022 academic year</w:t>
      </w:r>
      <w:r w:rsidR="008C0078">
        <w:rPr>
          <w:rFonts w:ascii="Palatino Linotype" w:hAnsi="Palatino Linotype"/>
          <w:sz w:val="24"/>
          <w:szCs w:val="24"/>
        </w:rPr>
        <w:t>?</w:t>
      </w:r>
    </w:p>
    <w:p w14:paraId="0D0264FF" w14:textId="77777777" w:rsidR="005D1999" w:rsidRPr="00DA6056" w:rsidRDefault="005D1999" w:rsidP="005D1999">
      <w:pPr>
        <w:spacing w:after="0"/>
        <w:rPr>
          <w:b/>
        </w:rPr>
      </w:pPr>
      <w:r w:rsidRPr="00DA605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1B96AA" wp14:editId="1E257AE9">
                <wp:simplePos x="0" y="0"/>
                <wp:positionH relativeFrom="margin">
                  <wp:align>left</wp:align>
                </wp:positionH>
                <wp:positionV relativeFrom="paragraph">
                  <wp:posOffset>391160</wp:posOffset>
                </wp:positionV>
                <wp:extent cx="6149340" cy="10096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DE29A" w14:textId="77777777" w:rsidR="005D1999" w:rsidRPr="00006EC1" w:rsidRDefault="005D1999" w:rsidP="005D1999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  <w:r w:rsidRPr="00006EC1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AGENCY RECOMMENDED ACTION:</w:t>
                            </w:r>
                          </w:p>
                          <w:p w14:paraId="565AE637" w14:textId="74C94EC5" w:rsidR="005D1999" w:rsidRPr="00EC6C25" w:rsidRDefault="005D1999" w:rsidP="005D1999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  <w:r w:rsidRPr="00771199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That the VSBPE</w:t>
                            </w:r>
                            <w:r w:rsidR="008C0078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B66D4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discuss the options below</w:t>
                            </w:r>
                            <w:r w:rsidR="00474E88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 xml:space="preserve"> to provide guidance to Educator Preparation Programs </w:t>
                            </w:r>
                            <w:r w:rsidR="009D09AA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 xml:space="preserve">(EPPs) </w:t>
                            </w:r>
                            <w:r w:rsidR="00474E88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who have student teachers in the field</w:t>
                            </w:r>
                            <w:r w:rsidR="00EA4A46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83EB5A0" w14:textId="77777777" w:rsidR="005D1999" w:rsidRPr="00006EC1" w:rsidRDefault="005D1999" w:rsidP="005D1999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8CABFAD" w14:textId="77777777" w:rsidR="005D1999" w:rsidRPr="00E26F2F" w:rsidRDefault="005D1999" w:rsidP="005D1999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4B1B96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.8pt;width:484.2pt;height:79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">
                <v:textbox>
                  <w:txbxContent>
                    <w:p w14:paraId="172DE29A" w14:textId="77777777" w:rsidR="005D1999" w:rsidRPr="00006EC1" w:rsidRDefault="005D1999" w:rsidP="005D1999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  <w:r w:rsidRPr="00006EC1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AGENCY RECOMMENDED ACTION:</w:t>
                      </w:r>
                    </w:p>
                    <w:p w14:paraId="565AE637" w14:textId="74C94EC5" w:rsidR="005D1999" w:rsidRPr="00EC6C25" w:rsidRDefault="005D1999" w:rsidP="005D1999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  <w:r w:rsidRPr="00771199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That the VSBPE</w:t>
                      </w:r>
                      <w:r w:rsidR="008C0078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B66D4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discuss the options below</w:t>
                      </w:r>
                      <w:r w:rsidR="00474E88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 xml:space="preserve"> to provide guidance to Educator Preparation Programs </w:t>
                      </w:r>
                      <w:r w:rsidR="009D09AA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 xml:space="preserve">(EPPs) </w:t>
                      </w:r>
                      <w:r w:rsidR="00474E88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who have student teachers in the field</w:t>
                      </w:r>
                      <w:r w:rsidR="00EA4A46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783EB5A0" w14:textId="77777777" w:rsidR="005D1999" w:rsidRPr="00006EC1" w:rsidRDefault="005D1999" w:rsidP="005D1999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</w:p>
                    <w:p w14:paraId="18CABFAD" w14:textId="77777777" w:rsidR="005D1999" w:rsidRPr="00E26F2F" w:rsidRDefault="005D1999" w:rsidP="005D1999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E93173" w14:textId="77777777" w:rsidR="005D1999" w:rsidRDefault="005D1999" w:rsidP="005D1999">
      <w:pPr>
        <w:spacing w:after="0"/>
        <w:rPr>
          <w:b/>
        </w:rPr>
      </w:pPr>
    </w:p>
    <w:p w14:paraId="15C7CA56" w14:textId="17EC6DEC" w:rsidR="00AE1383" w:rsidRDefault="005D1999" w:rsidP="00035589">
      <w:pPr>
        <w:pStyle w:val="Header"/>
        <w:rPr>
          <w:rFonts w:ascii="Palatino Linotype" w:hAnsi="Palatino Linotype"/>
          <w:bCs/>
          <w:sz w:val="24"/>
          <w:szCs w:val="24"/>
        </w:rPr>
      </w:pPr>
      <w:r w:rsidRPr="000B675A">
        <w:rPr>
          <w:rFonts w:ascii="Palatino Linotype" w:hAnsi="Palatino Linotype"/>
          <w:b/>
          <w:sz w:val="24"/>
          <w:szCs w:val="24"/>
        </w:rPr>
        <w:t xml:space="preserve">BACKGROUND: </w:t>
      </w:r>
      <w:r w:rsidR="00536EE0">
        <w:rPr>
          <w:rFonts w:ascii="Palatino Linotype" w:hAnsi="Palatino Linotype"/>
          <w:bCs/>
          <w:sz w:val="24"/>
          <w:szCs w:val="24"/>
        </w:rPr>
        <w:t xml:space="preserve">For </w:t>
      </w:r>
      <w:r w:rsidR="009D09AA">
        <w:rPr>
          <w:rFonts w:ascii="Palatino Linotype" w:hAnsi="Palatino Linotype"/>
          <w:bCs/>
          <w:sz w:val="24"/>
          <w:szCs w:val="24"/>
        </w:rPr>
        <w:t>s</w:t>
      </w:r>
      <w:r w:rsidR="00536EE0">
        <w:rPr>
          <w:rFonts w:ascii="Palatino Linotype" w:hAnsi="Palatino Linotype"/>
          <w:bCs/>
          <w:sz w:val="24"/>
          <w:szCs w:val="24"/>
        </w:rPr>
        <w:t>pring of 2020</w:t>
      </w:r>
      <w:r w:rsidR="00F8393C">
        <w:rPr>
          <w:rFonts w:ascii="Palatino Linotype" w:hAnsi="Palatino Linotype"/>
          <w:bCs/>
          <w:sz w:val="24"/>
          <w:szCs w:val="24"/>
        </w:rPr>
        <w:t xml:space="preserve">, </w:t>
      </w:r>
      <w:r w:rsidR="00980DC4">
        <w:rPr>
          <w:rFonts w:ascii="Palatino Linotype" w:hAnsi="Palatino Linotype"/>
          <w:bCs/>
          <w:sz w:val="24"/>
          <w:szCs w:val="24"/>
        </w:rPr>
        <w:t xml:space="preserve">the Board allowed programs to recommend their candidates who may not have been able to complete the full 13 weeks of student teaching due to Covid, </w:t>
      </w:r>
      <w:r w:rsidR="008865AA">
        <w:rPr>
          <w:rFonts w:ascii="Palatino Linotype" w:hAnsi="Palatino Linotype"/>
          <w:bCs/>
          <w:sz w:val="24"/>
          <w:szCs w:val="24"/>
        </w:rPr>
        <w:t>with the following stipulations:</w:t>
      </w:r>
    </w:p>
    <w:p w14:paraId="3F55666A" w14:textId="4A46CA32" w:rsidR="008865AA" w:rsidRDefault="008865AA" w:rsidP="00035589">
      <w:pPr>
        <w:pStyle w:val="Header"/>
        <w:rPr>
          <w:rFonts w:ascii="Palatino Linotype" w:hAnsi="Palatino Linotype"/>
          <w:bCs/>
          <w:sz w:val="24"/>
          <w:szCs w:val="24"/>
        </w:rPr>
      </w:pPr>
    </w:p>
    <w:p w14:paraId="0208F8EB" w14:textId="77777777" w:rsidR="008865AA" w:rsidRDefault="008865AA" w:rsidP="00035589">
      <w:pPr>
        <w:pStyle w:val="Header"/>
        <w:rPr>
          <w:rFonts w:ascii="Palatino Linotype" w:hAnsi="Palatino Linotype"/>
          <w:bCs/>
          <w:sz w:val="24"/>
          <w:szCs w:val="24"/>
        </w:rPr>
      </w:pPr>
      <w:r w:rsidRPr="008865AA">
        <w:rPr>
          <w:rFonts w:ascii="Palatino Linotype" w:hAnsi="Palatino Linotype"/>
          <w:bCs/>
          <w:sz w:val="24"/>
          <w:szCs w:val="24"/>
        </w:rPr>
        <w:t xml:space="preserve">1. At least half of the required 13 weeks have been completed </w:t>
      </w:r>
    </w:p>
    <w:p w14:paraId="56158BCB" w14:textId="77777777" w:rsidR="008865AA" w:rsidRDefault="008865AA" w:rsidP="00035589">
      <w:pPr>
        <w:pStyle w:val="Header"/>
        <w:rPr>
          <w:rFonts w:ascii="Palatino Linotype" w:hAnsi="Palatino Linotype"/>
          <w:bCs/>
          <w:sz w:val="24"/>
          <w:szCs w:val="24"/>
        </w:rPr>
      </w:pPr>
      <w:r w:rsidRPr="008865AA">
        <w:rPr>
          <w:rFonts w:ascii="Palatino Linotype" w:hAnsi="Palatino Linotype"/>
          <w:bCs/>
          <w:sz w:val="24"/>
          <w:szCs w:val="24"/>
        </w:rPr>
        <w:t xml:space="preserve">2. The mentor/cooperating teacher writes a letter of recommendation attesting that the student has demonstrated the appropriate trajectory of a typically successful student teacher. </w:t>
      </w:r>
    </w:p>
    <w:p w14:paraId="18C7CA44" w14:textId="0260FC46" w:rsidR="008865AA" w:rsidRDefault="008865AA" w:rsidP="00035589">
      <w:pPr>
        <w:pStyle w:val="Header"/>
        <w:rPr>
          <w:rFonts w:ascii="Palatino Linotype" w:hAnsi="Palatino Linotype"/>
          <w:bCs/>
          <w:sz w:val="24"/>
          <w:szCs w:val="24"/>
        </w:rPr>
      </w:pPr>
      <w:r w:rsidRPr="008865AA">
        <w:rPr>
          <w:rFonts w:ascii="Palatino Linotype" w:hAnsi="Palatino Linotype"/>
          <w:bCs/>
          <w:sz w:val="24"/>
          <w:szCs w:val="24"/>
        </w:rPr>
        <w:t>3. The university supervisor writes a letter of recommendation attesting that the student has demonstrated the appropriate trajectory of a typically successful student teacher.</w:t>
      </w:r>
    </w:p>
    <w:p w14:paraId="5DBAB902" w14:textId="5F5868AE" w:rsidR="00614642" w:rsidRDefault="00614642" w:rsidP="00035589">
      <w:pPr>
        <w:pStyle w:val="Header"/>
        <w:rPr>
          <w:rFonts w:ascii="Palatino Linotype" w:hAnsi="Palatino Linotype"/>
          <w:bCs/>
          <w:sz w:val="24"/>
          <w:szCs w:val="24"/>
        </w:rPr>
      </w:pPr>
    </w:p>
    <w:p w14:paraId="5DB4BBB8" w14:textId="1A8EC552" w:rsidR="00614642" w:rsidRDefault="00614642" w:rsidP="00035589">
      <w:pPr>
        <w:pStyle w:val="Header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For </w:t>
      </w:r>
      <w:r w:rsidR="008C4BF5">
        <w:rPr>
          <w:rFonts w:ascii="Palatino Linotype" w:hAnsi="Palatino Linotype"/>
          <w:bCs/>
          <w:sz w:val="24"/>
          <w:szCs w:val="24"/>
        </w:rPr>
        <w:t xml:space="preserve">AY </w:t>
      </w:r>
      <w:r>
        <w:rPr>
          <w:rFonts w:ascii="Palatino Linotype" w:hAnsi="Palatino Linotype"/>
          <w:bCs/>
          <w:sz w:val="24"/>
          <w:szCs w:val="24"/>
        </w:rPr>
        <w:t xml:space="preserve">2020-2021, the Board </w:t>
      </w:r>
      <w:r w:rsidR="00D807E6">
        <w:rPr>
          <w:rFonts w:ascii="Palatino Linotype" w:hAnsi="Palatino Linotype"/>
          <w:bCs/>
          <w:sz w:val="24"/>
          <w:szCs w:val="24"/>
        </w:rPr>
        <w:t xml:space="preserve">directed approved programs to submit a temporary substantive change request </w:t>
      </w:r>
      <w:r w:rsidR="006A1A60">
        <w:rPr>
          <w:rFonts w:ascii="Palatino Linotype" w:hAnsi="Palatino Linotype"/>
          <w:bCs/>
          <w:sz w:val="24"/>
          <w:szCs w:val="24"/>
        </w:rPr>
        <w:t xml:space="preserve">that would outline how they would handle the potential </w:t>
      </w:r>
      <w:r w:rsidR="00FD76C6">
        <w:rPr>
          <w:rFonts w:ascii="Palatino Linotype" w:hAnsi="Palatino Linotype"/>
          <w:bCs/>
          <w:sz w:val="24"/>
          <w:szCs w:val="24"/>
        </w:rPr>
        <w:t>issues that could arise due to Covid</w:t>
      </w:r>
      <w:r w:rsidR="00AA3B9E">
        <w:rPr>
          <w:rFonts w:ascii="Palatino Linotype" w:hAnsi="Palatino Linotype"/>
          <w:bCs/>
          <w:sz w:val="24"/>
          <w:szCs w:val="24"/>
        </w:rPr>
        <w:t xml:space="preserve">. The Office reviewed each of the plans and the Board voted to accept them. </w:t>
      </w:r>
    </w:p>
    <w:p w14:paraId="12ADACDD" w14:textId="6E8D97C7" w:rsidR="00CE0855" w:rsidRDefault="00CE0855" w:rsidP="0017674C">
      <w:pPr>
        <w:pStyle w:val="Header"/>
        <w:rPr>
          <w:rFonts w:ascii="Palatino Linotype" w:hAnsi="Palatino Linotype"/>
          <w:b/>
          <w:sz w:val="24"/>
          <w:szCs w:val="24"/>
        </w:rPr>
      </w:pPr>
    </w:p>
    <w:p w14:paraId="4904979E" w14:textId="503958A5" w:rsidR="00CE0855" w:rsidRDefault="00CE0855" w:rsidP="0017674C">
      <w:pPr>
        <w:pStyle w:val="Header"/>
        <w:rPr>
          <w:rFonts w:ascii="Palatino Linotype" w:hAnsi="Palatino Linotype"/>
          <w:b/>
          <w:sz w:val="24"/>
          <w:szCs w:val="24"/>
        </w:rPr>
      </w:pPr>
    </w:p>
    <w:p w14:paraId="430AA063" w14:textId="6A80AEE8" w:rsidR="00CE0855" w:rsidRDefault="008C4BF5" w:rsidP="0017674C">
      <w:pPr>
        <w:pStyle w:val="Head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OPTIONS for AY 2021-2022</w:t>
      </w:r>
      <w:r w:rsidR="00CE0855">
        <w:rPr>
          <w:rFonts w:ascii="Palatino Linotype" w:hAnsi="Palatino Linotype"/>
          <w:b/>
          <w:sz w:val="24"/>
          <w:szCs w:val="24"/>
        </w:rPr>
        <w:t>:</w:t>
      </w:r>
    </w:p>
    <w:p w14:paraId="65C2F6BC" w14:textId="03807F30" w:rsidR="008C4BF5" w:rsidRDefault="008C4BF5" w:rsidP="0017674C">
      <w:pPr>
        <w:pStyle w:val="Header"/>
        <w:rPr>
          <w:rFonts w:ascii="Palatino Linotype" w:hAnsi="Palatino Linotype"/>
          <w:b/>
          <w:sz w:val="24"/>
          <w:szCs w:val="24"/>
        </w:rPr>
      </w:pPr>
    </w:p>
    <w:p w14:paraId="0F8D64E1" w14:textId="091A72D9" w:rsidR="0001146A" w:rsidRPr="00F62537" w:rsidRDefault="00AD29B9" w:rsidP="00F62537">
      <w:pPr>
        <w:pStyle w:val="Header"/>
        <w:numPr>
          <w:ilvl w:val="0"/>
          <w:numId w:val="3"/>
        </w:numPr>
        <w:rPr>
          <w:rFonts w:ascii="Palatino Linotype" w:hAnsi="Palatino Linotype"/>
          <w:bCs/>
          <w:sz w:val="24"/>
          <w:szCs w:val="24"/>
        </w:rPr>
      </w:pPr>
      <w:r w:rsidRPr="00F62537">
        <w:rPr>
          <w:rFonts w:ascii="Palatino Linotype" w:hAnsi="Palatino Linotype"/>
          <w:bCs/>
          <w:sz w:val="24"/>
          <w:szCs w:val="24"/>
        </w:rPr>
        <w:t xml:space="preserve">Allow for the same flexibility that </w:t>
      </w:r>
      <w:r w:rsidR="009D09AA" w:rsidRPr="00F62537">
        <w:rPr>
          <w:rFonts w:ascii="Palatino Linotype" w:hAnsi="Palatino Linotype"/>
          <w:bCs/>
          <w:sz w:val="24"/>
          <w:szCs w:val="24"/>
        </w:rPr>
        <w:t>EPPs had in spring of 2020</w:t>
      </w:r>
      <w:r w:rsidR="00F651E8" w:rsidRPr="00F62537">
        <w:rPr>
          <w:rFonts w:ascii="Palatino Linotype" w:hAnsi="Palatino Linotype"/>
          <w:bCs/>
          <w:sz w:val="24"/>
          <w:szCs w:val="24"/>
        </w:rPr>
        <w:t>, as detailed above.</w:t>
      </w:r>
    </w:p>
    <w:p w14:paraId="14214D5A" w14:textId="591C70F6" w:rsidR="0001146A" w:rsidRPr="00F62537" w:rsidRDefault="00F651E8" w:rsidP="00F62537">
      <w:pPr>
        <w:pStyle w:val="Header"/>
        <w:numPr>
          <w:ilvl w:val="0"/>
          <w:numId w:val="3"/>
        </w:numPr>
        <w:rPr>
          <w:rFonts w:ascii="Palatino Linotype" w:hAnsi="Palatino Linotype"/>
          <w:bCs/>
          <w:sz w:val="24"/>
          <w:szCs w:val="24"/>
        </w:rPr>
      </w:pPr>
      <w:r w:rsidRPr="00F62537">
        <w:rPr>
          <w:rFonts w:ascii="Palatino Linotype" w:hAnsi="Palatino Linotype"/>
          <w:bCs/>
          <w:sz w:val="24"/>
          <w:szCs w:val="24"/>
        </w:rPr>
        <w:t xml:space="preserve">Extend the approval of </w:t>
      </w:r>
      <w:r w:rsidR="0001146A" w:rsidRPr="00F62537">
        <w:rPr>
          <w:rFonts w:ascii="Palatino Linotype" w:hAnsi="Palatino Linotype"/>
          <w:bCs/>
          <w:sz w:val="24"/>
          <w:szCs w:val="24"/>
        </w:rPr>
        <w:t>the substantive change requests from AY 2020-2021.</w:t>
      </w:r>
    </w:p>
    <w:p w14:paraId="3AA77B9A" w14:textId="098D079D" w:rsidR="00C00862" w:rsidRPr="00F62537" w:rsidRDefault="00AB216A" w:rsidP="00F62537">
      <w:pPr>
        <w:pStyle w:val="Header"/>
        <w:numPr>
          <w:ilvl w:val="0"/>
          <w:numId w:val="3"/>
        </w:numPr>
        <w:rPr>
          <w:rFonts w:ascii="Palatino Linotype" w:hAnsi="Palatino Linotype"/>
          <w:bCs/>
          <w:sz w:val="24"/>
          <w:szCs w:val="24"/>
        </w:rPr>
      </w:pPr>
      <w:r w:rsidRPr="00F62537">
        <w:rPr>
          <w:rFonts w:ascii="Palatino Linotype" w:hAnsi="Palatino Linotype"/>
          <w:bCs/>
          <w:sz w:val="24"/>
          <w:szCs w:val="24"/>
        </w:rPr>
        <w:t>Decide upon a different plan for AY 2021-2022.</w:t>
      </w:r>
    </w:p>
    <w:p w14:paraId="268712D5" w14:textId="0E668161" w:rsidR="00F62537" w:rsidRPr="00F62537" w:rsidRDefault="00C00862" w:rsidP="00F62537">
      <w:pPr>
        <w:pStyle w:val="Header"/>
        <w:numPr>
          <w:ilvl w:val="0"/>
          <w:numId w:val="3"/>
        </w:numPr>
        <w:rPr>
          <w:rFonts w:ascii="Palatino Linotype" w:hAnsi="Palatino Linotype"/>
          <w:bCs/>
          <w:sz w:val="24"/>
          <w:szCs w:val="24"/>
        </w:rPr>
      </w:pPr>
      <w:r w:rsidRPr="00F62537">
        <w:rPr>
          <w:rFonts w:ascii="Palatino Linotype" w:hAnsi="Palatino Linotype"/>
          <w:bCs/>
          <w:sz w:val="24"/>
          <w:szCs w:val="24"/>
        </w:rPr>
        <w:t>Do not offer flexibility for AY 2021-2022.</w:t>
      </w:r>
    </w:p>
    <w:p w14:paraId="6C58D242" w14:textId="58F829F8" w:rsidR="00F62537" w:rsidRPr="00F62537" w:rsidRDefault="00F62537" w:rsidP="00F62537">
      <w:pPr>
        <w:pStyle w:val="Header"/>
        <w:numPr>
          <w:ilvl w:val="0"/>
          <w:numId w:val="3"/>
        </w:numPr>
        <w:rPr>
          <w:rFonts w:ascii="Palatino Linotype" w:hAnsi="Palatino Linotype"/>
          <w:bCs/>
          <w:sz w:val="24"/>
          <w:szCs w:val="24"/>
        </w:rPr>
      </w:pPr>
      <w:r w:rsidRPr="00F62537">
        <w:rPr>
          <w:rFonts w:ascii="Palatino Linotype" w:hAnsi="Palatino Linotype"/>
          <w:bCs/>
          <w:sz w:val="24"/>
          <w:szCs w:val="24"/>
        </w:rPr>
        <w:t xml:space="preserve">Direct EPPs to </w:t>
      </w:r>
      <w:r>
        <w:rPr>
          <w:rFonts w:ascii="Palatino Linotype" w:hAnsi="Palatino Linotype"/>
          <w:bCs/>
          <w:sz w:val="24"/>
          <w:szCs w:val="24"/>
        </w:rPr>
        <w:t>develop policies to address extended absences from student teaching due to illness or injury.</w:t>
      </w:r>
    </w:p>
    <w:p w14:paraId="01B75A5E" w14:textId="77777777" w:rsidR="00AB0B77" w:rsidRDefault="00AB0B77" w:rsidP="00AB0B77">
      <w:pPr>
        <w:pStyle w:val="ListParagraph"/>
        <w:rPr>
          <w:rFonts w:ascii="Palatino Linotype" w:hAnsi="Palatino Linotype"/>
          <w:b/>
          <w:sz w:val="24"/>
          <w:szCs w:val="24"/>
        </w:rPr>
      </w:pPr>
    </w:p>
    <w:p w14:paraId="2A2C54A0" w14:textId="72126C43" w:rsidR="00AB0B77" w:rsidRDefault="00AB0B77" w:rsidP="00AB0B77">
      <w:pPr>
        <w:pStyle w:val="Header"/>
        <w:rPr>
          <w:rFonts w:ascii="Palatino Linotype" w:hAnsi="Palatino Linotype"/>
          <w:b/>
          <w:sz w:val="24"/>
          <w:szCs w:val="24"/>
        </w:rPr>
      </w:pPr>
    </w:p>
    <w:p w14:paraId="209EE347" w14:textId="77777777" w:rsidR="00AB216A" w:rsidRPr="0017674C" w:rsidRDefault="00AB216A" w:rsidP="00C00862">
      <w:pPr>
        <w:pStyle w:val="Header"/>
        <w:rPr>
          <w:rFonts w:ascii="Palatino Linotype" w:hAnsi="Palatino Linotype"/>
          <w:b/>
          <w:sz w:val="24"/>
          <w:szCs w:val="24"/>
        </w:rPr>
      </w:pPr>
    </w:p>
    <w:sectPr w:rsidR="00AB216A" w:rsidRPr="0017674C" w:rsidSect="00256309">
      <w:footerReference w:type="default" r:id="rId7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F40E4" w14:textId="77777777" w:rsidR="0006342B" w:rsidRDefault="0006342B">
      <w:pPr>
        <w:spacing w:after="0" w:line="240" w:lineRule="auto"/>
      </w:pPr>
      <w:r>
        <w:separator/>
      </w:r>
    </w:p>
  </w:endnote>
  <w:endnote w:type="continuationSeparator" w:id="0">
    <w:p w14:paraId="69F5A95B" w14:textId="77777777" w:rsidR="0006342B" w:rsidRDefault="0006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135"/>
      <w:gridCol w:w="1586"/>
      <w:gridCol w:w="3639"/>
    </w:tblGrid>
    <w:tr w:rsidR="00796D5F" w14:paraId="1B1C8621" w14:textId="77777777" w:rsidTr="00F53994">
      <w:trPr>
        <w:cantSplit/>
        <w:trHeight w:val="633"/>
        <w:tblHeader/>
      </w:trPr>
      <w:tc>
        <w:tcPr>
          <w:tcW w:w="4248" w:type="dxa"/>
        </w:tcPr>
        <w:p w14:paraId="61E498E7" w14:textId="4D6165DD" w:rsidR="00982BDF" w:rsidRPr="00937FFC" w:rsidRDefault="00AB0B77" w:rsidP="00796D5F">
          <w:pPr>
            <w:rPr>
              <w:sz w:val="20"/>
            </w:rPr>
          </w:pPr>
          <w:r>
            <w:rPr>
              <w:sz w:val="20"/>
            </w:rPr>
            <w:t xml:space="preserve">2021-2022 Student Teaching </w:t>
          </w:r>
          <w:r w:rsidR="001F46B1">
            <w:rPr>
              <w:sz w:val="20"/>
            </w:rPr>
            <w:t xml:space="preserve"> </w:t>
          </w:r>
          <w:r>
            <w:rPr>
              <w:sz w:val="20"/>
            </w:rPr>
            <w:t>10-14</w:t>
          </w:r>
          <w:r w:rsidR="001F46B1">
            <w:rPr>
              <w:sz w:val="20"/>
            </w:rPr>
            <w:t>-21</w:t>
          </w:r>
        </w:p>
      </w:tc>
      <w:tc>
        <w:tcPr>
          <w:tcW w:w="1620" w:type="dxa"/>
        </w:tcPr>
        <w:p w14:paraId="19CAC45D" w14:textId="77777777" w:rsidR="00796D5F" w:rsidRPr="00937FFC" w:rsidRDefault="00D978A4" w:rsidP="00796D5F">
          <w:pPr>
            <w:jc w:val="center"/>
            <w:rPr>
              <w:sz w:val="20"/>
            </w:rPr>
          </w:pPr>
          <w:r w:rsidRPr="00937FFC">
            <w:rPr>
              <w:sz w:val="20"/>
            </w:rPr>
            <w:t xml:space="preserve">Page </w:t>
          </w:r>
          <w:r w:rsidRPr="00937FFC">
            <w:rPr>
              <w:b/>
              <w:sz w:val="20"/>
            </w:rPr>
            <w:fldChar w:fldCharType="begin"/>
          </w:r>
          <w:r w:rsidRPr="00937FFC">
            <w:rPr>
              <w:b/>
              <w:sz w:val="20"/>
            </w:rPr>
            <w:instrText xml:space="preserve"> PAGE  \* Arabic  \* MERGEFORMAT </w:instrText>
          </w:r>
          <w:r w:rsidRPr="00937FFC">
            <w:rPr>
              <w:b/>
              <w:sz w:val="20"/>
            </w:rPr>
            <w:fldChar w:fldCharType="separate"/>
          </w:r>
          <w:r>
            <w:rPr>
              <w:b/>
              <w:noProof/>
              <w:sz w:val="20"/>
            </w:rPr>
            <w:t>3</w:t>
          </w:r>
          <w:r w:rsidRPr="00937FFC">
            <w:rPr>
              <w:b/>
              <w:sz w:val="20"/>
            </w:rPr>
            <w:fldChar w:fldCharType="end"/>
          </w:r>
          <w:r w:rsidRPr="00937FFC">
            <w:rPr>
              <w:sz w:val="20"/>
            </w:rPr>
            <w:t xml:space="preserve"> of </w:t>
          </w:r>
          <w:r w:rsidRPr="00937FFC">
            <w:rPr>
              <w:sz w:val="20"/>
            </w:rPr>
            <w:fldChar w:fldCharType="begin"/>
          </w:r>
          <w:r w:rsidRPr="00937FFC">
            <w:rPr>
              <w:sz w:val="20"/>
            </w:rPr>
            <w:instrText xml:space="preserve"> NUMPAGES  \* Arabic  \* MERGEFORMAT </w:instrText>
          </w:r>
          <w:r w:rsidRPr="00937FFC">
            <w:rPr>
              <w:sz w:val="20"/>
            </w:rPr>
            <w:fldChar w:fldCharType="separate"/>
          </w:r>
          <w:r w:rsidRPr="00B521D2">
            <w:rPr>
              <w:b/>
              <w:noProof/>
              <w:sz w:val="20"/>
            </w:rPr>
            <w:t>3</w:t>
          </w:r>
          <w:r w:rsidRPr="00937FFC">
            <w:rPr>
              <w:b/>
              <w:noProof/>
              <w:sz w:val="20"/>
            </w:rPr>
            <w:fldChar w:fldCharType="end"/>
          </w:r>
        </w:p>
      </w:tc>
      <w:tc>
        <w:tcPr>
          <w:tcW w:w="3708" w:type="dxa"/>
        </w:tcPr>
        <w:p w14:paraId="12DBF396" w14:textId="77777777" w:rsidR="00796D5F" w:rsidRPr="00937FFC" w:rsidRDefault="00D978A4" w:rsidP="00796D5F">
          <w:pPr>
            <w:jc w:val="right"/>
            <w:rPr>
              <w:sz w:val="20"/>
              <w:szCs w:val="18"/>
            </w:rPr>
          </w:pPr>
          <w:r w:rsidRPr="00937FFC">
            <w:rPr>
              <w:noProof/>
              <w:sz w:val="20"/>
            </w:rPr>
            <w:drawing>
              <wp:inline distT="0" distB="0" distL="0" distR="0" wp14:anchorId="14C902E1" wp14:editId="7E803CAA">
                <wp:extent cx="920017" cy="230744"/>
                <wp:effectExtent l="0" t="0" r="0" b="0"/>
                <wp:docPr id="5" name="Picture 5" descr="Moon over the mountains State of Vermont logo&#10;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526227" w14:textId="77777777" w:rsidR="00796D5F" w:rsidRDefault="00586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D98C3" w14:textId="77777777" w:rsidR="0006342B" w:rsidRDefault="0006342B">
      <w:pPr>
        <w:spacing w:after="0" w:line="240" w:lineRule="auto"/>
      </w:pPr>
      <w:r>
        <w:separator/>
      </w:r>
    </w:p>
  </w:footnote>
  <w:footnote w:type="continuationSeparator" w:id="0">
    <w:p w14:paraId="7F468588" w14:textId="77777777" w:rsidR="0006342B" w:rsidRDefault="00063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C3553B"/>
    <w:multiLevelType w:val="hybridMultilevel"/>
    <w:tmpl w:val="05527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C712C"/>
    <w:multiLevelType w:val="hybridMultilevel"/>
    <w:tmpl w:val="D7E86C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1C1B65"/>
    <w:multiLevelType w:val="hybridMultilevel"/>
    <w:tmpl w:val="C05E6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99"/>
    <w:rsid w:val="0001146A"/>
    <w:rsid w:val="00035589"/>
    <w:rsid w:val="0004552B"/>
    <w:rsid w:val="0006342B"/>
    <w:rsid w:val="000B465B"/>
    <w:rsid w:val="000D0141"/>
    <w:rsid w:val="000D6982"/>
    <w:rsid w:val="0011006E"/>
    <w:rsid w:val="0017674C"/>
    <w:rsid w:val="001F46B1"/>
    <w:rsid w:val="00226F44"/>
    <w:rsid w:val="00281D49"/>
    <w:rsid w:val="002C390C"/>
    <w:rsid w:val="002E444D"/>
    <w:rsid w:val="003319D3"/>
    <w:rsid w:val="003B02B7"/>
    <w:rsid w:val="003B1F0E"/>
    <w:rsid w:val="003B2D98"/>
    <w:rsid w:val="003F4376"/>
    <w:rsid w:val="003F4EBF"/>
    <w:rsid w:val="004035F7"/>
    <w:rsid w:val="00474E88"/>
    <w:rsid w:val="004E5DD0"/>
    <w:rsid w:val="00536EE0"/>
    <w:rsid w:val="00586833"/>
    <w:rsid w:val="005A51D2"/>
    <w:rsid w:val="005C73E7"/>
    <w:rsid w:val="005D1999"/>
    <w:rsid w:val="005E7622"/>
    <w:rsid w:val="00614642"/>
    <w:rsid w:val="00650284"/>
    <w:rsid w:val="00661EA0"/>
    <w:rsid w:val="006A1A60"/>
    <w:rsid w:val="00705421"/>
    <w:rsid w:val="007463A5"/>
    <w:rsid w:val="00763BA1"/>
    <w:rsid w:val="007767B6"/>
    <w:rsid w:val="00870098"/>
    <w:rsid w:val="008865AA"/>
    <w:rsid w:val="008B66D4"/>
    <w:rsid w:val="008C0078"/>
    <w:rsid w:val="008C4BF5"/>
    <w:rsid w:val="0091313E"/>
    <w:rsid w:val="00980DC4"/>
    <w:rsid w:val="009B46B4"/>
    <w:rsid w:val="009D09AA"/>
    <w:rsid w:val="009E54C8"/>
    <w:rsid w:val="00A111C3"/>
    <w:rsid w:val="00A23636"/>
    <w:rsid w:val="00A460AB"/>
    <w:rsid w:val="00A53D4A"/>
    <w:rsid w:val="00A56A6A"/>
    <w:rsid w:val="00A706CE"/>
    <w:rsid w:val="00AA3B9E"/>
    <w:rsid w:val="00AB0B77"/>
    <w:rsid w:val="00AB216A"/>
    <w:rsid w:val="00AD29B9"/>
    <w:rsid w:val="00AE1383"/>
    <w:rsid w:val="00AE3D4E"/>
    <w:rsid w:val="00B81343"/>
    <w:rsid w:val="00B95492"/>
    <w:rsid w:val="00BA4ED9"/>
    <w:rsid w:val="00BF7C38"/>
    <w:rsid w:val="00C00862"/>
    <w:rsid w:val="00C354B6"/>
    <w:rsid w:val="00C61698"/>
    <w:rsid w:val="00C97652"/>
    <w:rsid w:val="00CE0855"/>
    <w:rsid w:val="00CF5B41"/>
    <w:rsid w:val="00D17CE3"/>
    <w:rsid w:val="00D807E6"/>
    <w:rsid w:val="00D85B08"/>
    <w:rsid w:val="00D978A4"/>
    <w:rsid w:val="00DA7A45"/>
    <w:rsid w:val="00DD031E"/>
    <w:rsid w:val="00E06E97"/>
    <w:rsid w:val="00E571C3"/>
    <w:rsid w:val="00E70B6C"/>
    <w:rsid w:val="00EA4A46"/>
    <w:rsid w:val="00EC6C25"/>
    <w:rsid w:val="00EF4ED1"/>
    <w:rsid w:val="00F62537"/>
    <w:rsid w:val="00F651E8"/>
    <w:rsid w:val="00F8393C"/>
    <w:rsid w:val="00FB7153"/>
    <w:rsid w:val="00FB756C"/>
    <w:rsid w:val="00FD76C6"/>
    <w:rsid w:val="00FE2844"/>
    <w:rsid w:val="00FE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F1E6A"/>
  <w15:chartTrackingRefBased/>
  <w15:docId w15:val="{BA80B3C7-00C0-4566-8E65-D64B059B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5D19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D19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999"/>
  </w:style>
  <w:style w:type="table" w:styleId="TableGrid">
    <w:name w:val="Table Grid"/>
    <w:basedOn w:val="TableNormal"/>
    <w:uiPriority w:val="59"/>
    <w:rsid w:val="005D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5589"/>
    <w:pPr>
      <w:spacing w:after="0" w:line="240" w:lineRule="auto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uiPriority w:val="99"/>
    <w:rsid w:val="00035589"/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011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9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1300</Characters>
  <Application>Microsoft Office Word</Application>
  <DocSecurity>4</DocSecurity>
  <Lines>92</Lines>
  <Paragraphs>72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Cairns, Ellen</dc:creator>
  <cp:keywords/>
  <dc:description/>
  <cp:lastModifiedBy>Scalabrini, Amy</cp:lastModifiedBy>
  <cp:revision>2</cp:revision>
  <dcterms:created xsi:type="dcterms:W3CDTF">2021-10-08T18:21:00Z</dcterms:created>
  <dcterms:modified xsi:type="dcterms:W3CDTF">2021-10-08T18:21:00Z</dcterms:modified>
</cp:coreProperties>
</file>