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 xml:space="preserve">[data]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Caro agregado familiar,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O governo federal aprovou os benefícios Pandemia-EBT para o ano escolar atual, até ao fim da emergência de saúde pública.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A nossa escola oferece refeições gratuitas a todos os alunos.  Isto torna todos os alunos elegíveis para receberem benefícios P-EBT para quaisquer dias: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Em que tenham tido uma ausência justificada relacionada com a COVID, ou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em que tenha havido um encerramento da escola relacionado com a COVID.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Estes benefícios: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Destinam-se a substituir o valor das refeições escolares gratuitas que os alunos teriam recebido em período escolar.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Serão fornecidos aos alunos que tiveram uma ausência justificada relacionada com a COVID.  Também serão concedidos benefícios a todos os alunos para quaisquer dias em que a nossa escola tenha tido um encerramento relacionado com a COVID.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A obtenção de refeições gratuitas para comer em casa durante um encerramento ou ausência não terá impacto na elegibilidade de um aluno para P-EBT.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REVEJA AS INFORMAÇÕES DO ALUNO: </w:t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Reveja as informações que temos em arquivo sobre o seu encarregando. </w:t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Nome do estudante: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Data de nascimento do estudante: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Representante do agregado familiar: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Endereço postal: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Se a informação estiver correta, não é necessária qualquer outra ação.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Se a informação não estiver correta, contacte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[forneça informações de contacto]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o mais tardar até 31 de janeiro de 2023 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[a data pode ser atualizada de acordo com as necessidades da escola]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para as corrigir.  Se o seu endereço postal mudar durante este ano, diga-nos.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Para saber mais sobre estes benefícios, consulte a lista anexa de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Perguntas Frequentes sobre P-EBT</w:t>
      </w: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.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 xml:space="preserve"> Se o seu encarregando for elegível para quaisquer benefícios relativos a setembro – janeiro, estes serão enviados em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abril.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Os benefícios relativos ao resto do ano letivo serão enviados este verão. 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Obrigado pela ajuda.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Atenciosamente,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[Assinatura]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 xml:space="preserve">De acordo com a lei federal dos direitos civis e os regulamentos e políticas de direitos civis do Departamento de Agricultura dos EUA (USDA), esta instituição está proibida de discriminar </w:t>
      </w:r>
      <w:r w:rsidRPr="00A27861">
        <w:rPr>
          <w:rFonts w:eastAsia="Times New Roman" w:cstheme="minorHAnsi"/>
          <w:color w:val="000000"/>
          <w:sz w:val="24"/>
          <w:szCs w:val="24"/>
        </w:rPr>
        <w:t xml:space="preserve">com base na raça, cor, origem nacional, sexo (incluindo identidade de género e orientação sexual), incapacidade e idade, ou de represálias ou retaliação por atividades anteriores relacionadas com direitos civis.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A informação do programa pode ser disponibilizada em outras línguas para além do inglês. As pessoas com incapacidades que necessitem de meios de comunicação alternativos para obter informações sobre o programa (por exemplo, Braille, letras grandes, áudios, linguagem gestual americana), devem contactar a agência estadual ou local responsável pela administração do programa ou o Centro TARGET do USDA por telefone (202) 720-2600 (voz e TTY), ou contactar o USDA através do Federal Relay Service por telefone (800) 877-8339.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Para apresentar uma queixa por discriminação relacionada com o programa, os queixosos devem preencher um formulário AD-3027 (Formulário de queixa por discriminação relacionada com o programa do USDA), que pode ser obtido online em: 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 xml:space="preserve">, em qualquer escritório do USDA, ao telefonar para (866) 632-9992, ou ao escrever uma carta dirigida ao USDA. A carta deve conter o nome, endereço e número de telefone do queixoso e uma descrição escrita da alegada ação discriminatória com suficiente detalhe para informar o Secretário Adjunto para os Direitos Civis (ASCR) sobre a natureza e data de uma alegada violação dos direitos civis. O formulário AD-3027 preenchido ou carta devem ser submetidos ao USDA por: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correio: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U.S. Department of Agriculture</w:t>
        <w:br/>
        <w:t xml:space="preserve">Office of the Assistant Secretary for Civil Rights</w:t>
        <w:br/>
        <w:t xml:space="preserve">1400 Independence Avenue, SW</w:t>
        <w:br/>
        <w:t xml:space="preserve">Washington, D.C. 20250-9410; ou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fax: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(833) 256-1665 ou (202) 690-7442; ou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e-mail: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Esta instituição defende a igualdade de oportunidades.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